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益友融通-2025年个人炫彩新贵001号理财产品说明书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益友融通-2025年个人炫彩新贵001号理财产品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bookmarkStart w:id="0" w:name="OLE_LINK1"/>
            <w:r>
              <w:rPr>
                <w:rFonts w:hint="eastAsia" w:ascii="仿宋_GB2312" w:eastAsia="仿宋_GB2312"/>
                <w:kern w:val="0"/>
                <w:szCs w:val="21"/>
                <w:highlight w:val="none"/>
                <w:lang w:val="en-US" w:eastAsia="zh-CN"/>
              </w:rPr>
              <w:t>HXAGI25009</w:t>
            </w:r>
            <w:bookmarkEnd w:id="0"/>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该理财产品在全国银行业理财登记系统的登记编码是【C1088525000008】，客户可依据该编码在“中国理财网（www.chinawealth.com.cn)”查询该产品信息。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新客专属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1"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2025年1月26日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2025年2月5日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2025年2月6日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8</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14</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189</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0.25</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kern w:val="0"/>
                <w:szCs w:val="21"/>
                <w:highlight w:val="none"/>
                <w:lang w:val="en-US" w:eastAsia="zh-CN"/>
              </w:rPr>
              <w:t>2.45%</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2.45%</w:t>
            </w:r>
            <w:r>
              <w:rPr>
                <w:rFonts w:hint="eastAsia" w:ascii="仿宋_GB2312" w:eastAsia="仿宋_GB2312"/>
                <w:color w:val="auto"/>
                <w:kern w:val="0"/>
                <w:szCs w:val="21"/>
                <w:highlight w:val="none"/>
                <w:lang w:eastAsia="zh-CN"/>
              </w:rPr>
              <w:t>（含）时，管理人不收取超额业绩报酬。持有收益率超出</w:t>
            </w:r>
            <w:r>
              <w:rPr>
                <w:rFonts w:hint="eastAsia" w:ascii="仿宋_GB2312" w:eastAsia="仿宋_GB2312"/>
                <w:color w:val="auto"/>
                <w:kern w:val="0"/>
                <w:szCs w:val="21"/>
                <w:highlight w:val="none"/>
                <w:lang w:val="en-US" w:eastAsia="zh-CN"/>
              </w:rPr>
              <w:t>2.45%</w:t>
            </w:r>
            <w:r>
              <w:rPr>
                <w:rFonts w:hint="eastAsia" w:ascii="仿宋_GB2312" w:eastAsia="仿宋_GB2312"/>
                <w:color w:val="auto"/>
                <w:kern w:val="0"/>
                <w:szCs w:val="21"/>
                <w:highlight w:val="none"/>
                <w:lang w:eastAsia="zh-CN"/>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lang w:eastAsia="zh-CN"/>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w:t>
            </w:r>
            <w:r>
              <w:rPr>
                <w:rFonts w:hint="eastAsia" w:ascii="仿宋_GB2312" w:eastAsia="仿宋_GB2312"/>
                <w:kern w:val="0"/>
                <w:szCs w:val="21"/>
                <w:highlight w:val="none"/>
              </w:rPr>
              <w:t>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2025年1月26日</w:t>
      </w:r>
      <w:r>
        <w:rPr>
          <w:rFonts w:hint="eastAsia" w:ascii="仿宋" w:hAnsi="仿宋" w:eastAsia="仿宋"/>
          <w:szCs w:val="21"/>
          <w:highlight w:val="none"/>
        </w:rPr>
        <w:t>9:00到</w:t>
      </w:r>
      <w:r>
        <w:rPr>
          <w:rFonts w:hint="eastAsia" w:ascii="仿宋" w:hAnsi="仿宋" w:eastAsia="仿宋"/>
          <w:szCs w:val="21"/>
          <w:highlight w:val="none"/>
          <w:lang w:eastAsia="zh-CN"/>
        </w:rPr>
        <w:t>2025年2月5日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2025年2月6日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1</w:t>
      </w:r>
      <w:r>
        <w:rPr>
          <w:rFonts w:hint="eastAsia" w:ascii="仿宋" w:hAnsi="仿宋" w:eastAsia="仿宋"/>
          <w:szCs w:val="21"/>
          <w:highlight w:val="none"/>
        </w:rPr>
        <w:t>万份，高于认购单笔最低限额的份额须为1</w:t>
      </w:r>
      <w:r>
        <w:rPr>
          <w:rFonts w:hint="eastAsia" w:ascii="仿宋" w:hAnsi="仿宋" w:eastAsia="仿宋"/>
          <w:szCs w:val="21"/>
          <w:highlight w:val="none"/>
          <w:lang w:eastAsia="zh-CN"/>
        </w:rPr>
        <w:t>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25</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lang w:eastAsia="zh-CN"/>
        </w:rPr>
        <w:t>管理人对本理财产品收取超额业绩报酬，产品确认日或终止日收取，产品持有收益率低于</w:t>
      </w:r>
      <w:r>
        <w:rPr>
          <w:rFonts w:hint="eastAsia" w:ascii="仿宋" w:hAnsi="仿宋" w:eastAsia="仿宋" w:cs="仿宋"/>
          <w:color w:val="auto"/>
          <w:kern w:val="0"/>
          <w:szCs w:val="21"/>
          <w:highlight w:val="none"/>
          <w:lang w:val="en-US" w:eastAsia="zh-CN"/>
        </w:rPr>
        <w:t>2.45%</w:t>
      </w:r>
      <w:r>
        <w:rPr>
          <w:rFonts w:hint="eastAsia" w:ascii="仿宋" w:hAnsi="仿宋" w:eastAsia="仿宋" w:cs="仿宋"/>
          <w:color w:val="auto"/>
          <w:kern w:val="0"/>
          <w:szCs w:val="21"/>
          <w:highlight w:val="none"/>
          <w:lang w:eastAsia="zh-CN"/>
        </w:rPr>
        <w:t>（含）时，管理人不收取超额业绩报酬。持有收益率超出</w:t>
      </w:r>
      <w:r>
        <w:rPr>
          <w:rFonts w:hint="eastAsia" w:ascii="仿宋" w:hAnsi="仿宋" w:eastAsia="仿宋" w:cs="仿宋"/>
          <w:color w:val="auto"/>
          <w:kern w:val="0"/>
          <w:szCs w:val="21"/>
          <w:highlight w:val="none"/>
          <w:lang w:val="en-US" w:eastAsia="zh-CN"/>
        </w:rPr>
        <w:t>2.45%</w:t>
      </w:r>
      <w:r>
        <w:rPr>
          <w:rFonts w:hint="eastAsia" w:ascii="仿宋" w:hAnsi="仿宋" w:eastAsia="仿宋" w:cs="仿宋"/>
          <w:color w:val="auto"/>
          <w:kern w:val="0"/>
          <w:szCs w:val="21"/>
          <w:highlight w:val="none"/>
          <w:lang w:eastAsia="zh-CN"/>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lang w:eastAsia="zh-CN"/>
        </w:rPr>
        <w:t>作为超额业绩报酬。超额业绩报酬精确到小数点后2位，小数点2位以后四舍五入。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超额业绩报酬计算方法为：</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r>
        <w:rPr>
          <w:rFonts w:hint="eastAsia" w:ascii="仿宋" w:hAnsi="仿宋" w:eastAsia="仿宋" w:cs="仿宋"/>
          <w:color w:val="auto"/>
          <w:kern w:val="0"/>
          <w:szCs w:val="21"/>
          <w:highlight w:val="none"/>
          <w:lang w:eastAsia="zh-CN"/>
        </w:rPr>
        <w:t>。</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2.45%，</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numPr>
          <w:ilvl w:val="0"/>
          <w:numId w:val="0"/>
        </w:numPr>
        <w:spacing w:line="360" w:lineRule="atLeast"/>
        <w:ind w:left="709" w:leftChars="0"/>
        <w:rPr>
          <w:rFonts w:ascii="仿宋" w:hAnsi="仿宋" w:eastAsia="仿宋"/>
          <w:szCs w:val="21"/>
          <w:highlight w:val="none"/>
        </w:rPr>
      </w:pP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rPr>
          <w:rFonts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本理财产品不保证本金和收益，产品期限为189天，风险评级为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XAGI25009）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highlight w:val="none"/>
        </w:rPr>
      </w:pPr>
    </w:p>
    <w:p>
      <w:pPr>
        <w:rPr>
          <w:highlight w:val="none"/>
        </w:rPr>
      </w:pPr>
    </w:p>
    <w:p>
      <w:pPr>
        <w:rPr>
          <w:highlight w:val="none"/>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23BA"/>
    <w:rsid w:val="00075C6B"/>
    <w:rsid w:val="00085CD9"/>
    <w:rsid w:val="0008723B"/>
    <w:rsid w:val="00090CBF"/>
    <w:rsid w:val="0009142D"/>
    <w:rsid w:val="00093843"/>
    <w:rsid w:val="00096B72"/>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5D24"/>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CF6D39"/>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341347"/>
    <w:rsid w:val="019957FB"/>
    <w:rsid w:val="01C73E76"/>
    <w:rsid w:val="01CC64E1"/>
    <w:rsid w:val="023363FA"/>
    <w:rsid w:val="023C3450"/>
    <w:rsid w:val="03202C95"/>
    <w:rsid w:val="033A3C73"/>
    <w:rsid w:val="035E2B49"/>
    <w:rsid w:val="038E10F7"/>
    <w:rsid w:val="042B4880"/>
    <w:rsid w:val="04590E66"/>
    <w:rsid w:val="047F4C96"/>
    <w:rsid w:val="055F7C64"/>
    <w:rsid w:val="05B35AC2"/>
    <w:rsid w:val="05D76F9F"/>
    <w:rsid w:val="05E81DD3"/>
    <w:rsid w:val="064A070D"/>
    <w:rsid w:val="067B5667"/>
    <w:rsid w:val="06A963B4"/>
    <w:rsid w:val="06F41355"/>
    <w:rsid w:val="078C12B3"/>
    <w:rsid w:val="0856007D"/>
    <w:rsid w:val="08653CA2"/>
    <w:rsid w:val="086641CD"/>
    <w:rsid w:val="088C66ED"/>
    <w:rsid w:val="0900765D"/>
    <w:rsid w:val="09520C38"/>
    <w:rsid w:val="09D02052"/>
    <w:rsid w:val="0A625176"/>
    <w:rsid w:val="0A943A79"/>
    <w:rsid w:val="0B3E0A97"/>
    <w:rsid w:val="0B727EC0"/>
    <w:rsid w:val="0BCC25AA"/>
    <w:rsid w:val="0BD062FD"/>
    <w:rsid w:val="0BFF251D"/>
    <w:rsid w:val="0CE612C3"/>
    <w:rsid w:val="0D6942E6"/>
    <w:rsid w:val="0D6F1704"/>
    <w:rsid w:val="0DB633A9"/>
    <w:rsid w:val="0DC3701E"/>
    <w:rsid w:val="0DEF4B10"/>
    <w:rsid w:val="0DF257D9"/>
    <w:rsid w:val="0E9968D5"/>
    <w:rsid w:val="0EE157B8"/>
    <w:rsid w:val="0EEB1DE7"/>
    <w:rsid w:val="0F5663A6"/>
    <w:rsid w:val="0F874C55"/>
    <w:rsid w:val="102B1998"/>
    <w:rsid w:val="10384691"/>
    <w:rsid w:val="107C5DE9"/>
    <w:rsid w:val="10FA43D9"/>
    <w:rsid w:val="11271642"/>
    <w:rsid w:val="11974373"/>
    <w:rsid w:val="11D3655A"/>
    <w:rsid w:val="11E43FF9"/>
    <w:rsid w:val="125A571B"/>
    <w:rsid w:val="12696A4A"/>
    <w:rsid w:val="12A01242"/>
    <w:rsid w:val="12A01BE3"/>
    <w:rsid w:val="12B530BB"/>
    <w:rsid w:val="12FD3636"/>
    <w:rsid w:val="131B5E7B"/>
    <w:rsid w:val="13DF5FCC"/>
    <w:rsid w:val="141360D7"/>
    <w:rsid w:val="14413DD9"/>
    <w:rsid w:val="144C63B7"/>
    <w:rsid w:val="14917D9A"/>
    <w:rsid w:val="14D40E9F"/>
    <w:rsid w:val="14EE7356"/>
    <w:rsid w:val="15397672"/>
    <w:rsid w:val="15946CEC"/>
    <w:rsid w:val="15BA5AB6"/>
    <w:rsid w:val="15E43297"/>
    <w:rsid w:val="16176EBD"/>
    <w:rsid w:val="161C66B4"/>
    <w:rsid w:val="161F5C75"/>
    <w:rsid w:val="163F6481"/>
    <w:rsid w:val="164D630E"/>
    <w:rsid w:val="166F14B7"/>
    <w:rsid w:val="16C72940"/>
    <w:rsid w:val="16F65ED9"/>
    <w:rsid w:val="174562AA"/>
    <w:rsid w:val="177F5397"/>
    <w:rsid w:val="17E44C47"/>
    <w:rsid w:val="180A08B7"/>
    <w:rsid w:val="184E1D17"/>
    <w:rsid w:val="1858278A"/>
    <w:rsid w:val="188B386B"/>
    <w:rsid w:val="189E19E7"/>
    <w:rsid w:val="19164A41"/>
    <w:rsid w:val="19951D37"/>
    <w:rsid w:val="19AE6BDF"/>
    <w:rsid w:val="19E559A1"/>
    <w:rsid w:val="1A196084"/>
    <w:rsid w:val="1A2E4F14"/>
    <w:rsid w:val="1A7A465A"/>
    <w:rsid w:val="1AB14BF2"/>
    <w:rsid w:val="1AFE0218"/>
    <w:rsid w:val="1B246F9D"/>
    <w:rsid w:val="1B617D04"/>
    <w:rsid w:val="1C384290"/>
    <w:rsid w:val="1C415326"/>
    <w:rsid w:val="1C7D5FD9"/>
    <w:rsid w:val="1C9E71C4"/>
    <w:rsid w:val="1CC631E4"/>
    <w:rsid w:val="1CD13782"/>
    <w:rsid w:val="1D1F49D8"/>
    <w:rsid w:val="1D30605F"/>
    <w:rsid w:val="1D7D0150"/>
    <w:rsid w:val="1D7D23B6"/>
    <w:rsid w:val="1D7D5D9B"/>
    <w:rsid w:val="1DE91C67"/>
    <w:rsid w:val="1DF92917"/>
    <w:rsid w:val="1ECA36AD"/>
    <w:rsid w:val="1ED75EB3"/>
    <w:rsid w:val="1EE2587F"/>
    <w:rsid w:val="1F7E5126"/>
    <w:rsid w:val="1F8E121A"/>
    <w:rsid w:val="1FE6468C"/>
    <w:rsid w:val="1FF33799"/>
    <w:rsid w:val="2035147D"/>
    <w:rsid w:val="20C4006E"/>
    <w:rsid w:val="21386109"/>
    <w:rsid w:val="2157303E"/>
    <w:rsid w:val="216D73D5"/>
    <w:rsid w:val="21847C16"/>
    <w:rsid w:val="219F0633"/>
    <w:rsid w:val="21B36C71"/>
    <w:rsid w:val="23055FD9"/>
    <w:rsid w:val="232F71CD"/>
    <w:rsid w:val="234D0DE9"/>
    <w:rsid w:val="236C672D"/>
    <w:rsid w:val="237D6694"/>
    <w:rsid w:val="23CC43F8"/>
    <w:rsid w:val="23F64837"/>
    <w:rsid w:val="24103C19"/>
    <w:rsid w:val="24187BD9"/>
    <w:rsid w:val="24374BFD"/>
    <w:rsid w:val="24C26931"/>
    <w:rsid w:val="24E9694D"/>
    <w:rsid w:val="24EE1114"/>
    <w:rsid w:val="253F1345"/>
    <w:rsid w:val="257939B4"/>
    <w:rsid w:val="25830E06"/>
    <w:rsid w:val="259246B2"/>
    <w:rsid w:val="25BC2EAA"/>
    <w:rsid w:val="25F6340B"/>
    <w:rsid w:val="26527C0F"/>
    <w:rsid w:val="26564440"/>
    <w:rsid w:val="265C3348"/>
    <w:rsid w:val="266D7E78"/>
    <w:rsid w:val="26A03FFF"/>
    <w:rsid w:val="28662A99"/>
    <w:rsid w:val="28AD786A"/>
    <w:rsid w:val="28D96B2B"/>
    <w:rsid w:val="29AB7F6C"/>
    <w:rsid w:val="29E24963"/>
    <w:rsid w:val="29F15294"/>
    <w:rsid w:val="2A8A486A"/>
    <w:rsid w:val="2AB5348B"/>
    <w:rsid w:val="2AE868AE"/>
    <w:rsid w:val="2B3733AC"/>
    <w:rsid w:val="2BE47E16"/>
    <w:rsid w:val="2C9E22DE"/>
    <w:rsid w:val="2DF7639B"/>
    <w:rsid w:val="2E197287"/>
    <w:rsid w:val="2F103136"/>
    <w:rsid w:val="2FC503BB"/>
    <w:rsid w:val="30DA080F"/>
    <w:rsid w:val="311C615D"/>
    <w:rsid w:val="311E5E1F"/>
    <w:rsid w:val="319F2918"/>
    <w:rsid w:val="31E32445"/>
    <w:rsid w:val="31E37464"/>
    <w:rsid w:val="320352CD"/>
    <w:rsid w:val="321D505F"/>
    <w:rsid w:val="322D64C7"/>
    <w:rsid w:val="33104557"/>
    <w:rsid w:val="348D0645"/>
    <w:rsid w:val="350663E8"/>
    <w:rsid w:val="352C6074"/>
    <w:rsid w:val="35755422"/>
    <w:rsid w:val="363628FB"/>
    <w:rsid w:val="36441F48"/>
    <w:rsid w:val="36BD583B"/>
    <w:rsid w:val="36FD683B"/>
    <w:rsid w:val="37B52E5B"/>
    <w:rsid w:val="37C64266"/>
    <w:rsid w:val="380854E0"/>
    <w:rsid w:val="386A08F7"/>
    <w:rsid w:val="389E6741"/>
    <w:rsid w:val="38AD6AF1"/>
    <w:rsid w:val="39745A76"/>
    <w:rsid w:val="3A4F671F"/>
    <w:rsid w:val="3AA80A70"/>
    <w:rsid w:val="3AEA0B8D"/>
    <w:rsid w:val="3B93207B"/>
    <w:rsid w:val="3BAB7E20"/>
    <w:rsid w:val="3BC83035"/>
    <w:rsid w:val="3BFB5304"/>
    <w:rsid w:val="3C010EDD"/>
    <w:rsid w:val="3C577625"/>
    <w:rsid w:val="3C6502D3"/>
    <w:rsid w:val="3D4C1F36"/>
    <w:rsid w:val="3D5559A9"/>
    <w:rsid w:val="3E420081"/>
    <w:rsid w:val="3EF0719D"/>
    <w:rsid w:val="3EFF1994"/>
    <w:rsid w:val="3F1A6FB1"/>
    <w:rsid w:val="3F1F53F1"/>
    <w:rsid w:val="3F966C78"/>
    <w:rsid w:val="40151A49"/>
    <w:rsid w:val="401C484B"/>
    <w:rsid w:val="40770F05"/>
    <w:rsid w:val="40AD7F50"/>
    <w:rsid w:val="40E504F8"/>
    <w:rsid w:val="41B020D2"/>
    <w:rsid w:val="41DC6B40"/>
    <w:rsid w:val="41EE530E"/>
    <w:rsid w:val="43225413"/>
    <w:rsid w:val="432311C9"/>
    <w:rsid w:val="43261950"/>
    <w:rsid w:val="43733025"/>
    <w:rsid w:val="43D566F8"/>
    <w:rsid w:val="440C116B"/>
    <w:rsid w:val="446242DA"/>
    <w:rsid w:val="448D35C3"/>
    <w:rsid w:val="44A369BC"/>
    <w:rsid w:val="44FE29A0"/>
    <w:rsid w:val="454167B1"/>
    <w:rsid w:val="454D2F0C"/>
    <w:rsid w:val="45671692"/>
    <w:rsid w:val="459F2F5F"/>
    <w:rsid w:val="45D51436"/>
    <w:rsid w:val="45DD64B4"/>
    <w:rsid w:val="45FB47CF"/>
    <w:rsid w:val="465E3E7E"/>
    <w:rsid w:val="46945C01"/>
    <w:rsid w:val="46C403BA"/>
    <w:rsid w:val="46E4574E"/>
    <w:rsid w:val="46F01B78"/>
    <w:rsid w:val="47F201E2"/>
    <w:rsid w:val="48427405"/>
    <w:rsid w:val="48445F28"/>
    <w:rsid w:val="49826615"/>
    <w:rsid w:val="4A0F6398"/>
    <w:rsid w:val="4A777085"/>
    <w:rsid w:val="4AE2591F"/>
    <w:rsid w:val="4AEC6A41"/>
    <w:rsid w:val="4AFF0FFB"/>
    <w:rsid w:val="4B47243E"/>
    <w:rsid w:val="4BAC775F"/>
    <w:rsid w:val="4BAD021A"/>
    <w:rsid w:val="4C047391"/>
    <w:rsid w:val="4C375F54"/>
    <w:rsid w:val="4C55136F"/>
    <w:rsid w:val="4CEE50C9"/>
    <w:rsid w:val="4D70191C"/>
    <w:rsid w:val="4D7461E5"/>
    <w:rsid w:val="4DD5068B"/>
    <w:rsid w:val="4DFC1374"/>
    <w:rsid w:val="4E0127CD"/>
    <w:rsid w:val="4E3D06AA"/>
    <w:rsid w:val="4F012756"/>
    <w:rsid w:val="50480372"/>
    <w:rsid w:val="50716FA4"/>
    <w:rsid w:val="509C7A92"/>
    <w:rsid w:val="50C44740"/>
    <w:rsid w:val="51AA1064"/>
    <w:rsid w:val="51D019FF"/>
    <w:rsid w:val="51F87FF2"/>
    <w:rsid w:val="522D4F37"/>
    <w:rsid w:val="527835CE"/>
    <w:rsid w:val="52F075A2"/>
    <w:rsid w:val="53227FD7"/>
    <w:rsid w:val="53CD435E"/>
    <w:rsid w:val="53F1405C"/>
    <w:rsid w:val="542C4729"/>
    <w:rsid w:val="54AD031C"/>
    <w:rsid w:val="55913E20"/>
    <w:rsid w:val="56472B43"/>
    <w:rsid w:val="57B36157"/>
    <w:rsid w:val="57DE294E"/>
    <w:rsid w:val="58431390"/>
    <w:rsid w:val="584E3395"/>
    <w:rsid w:val="59406919"/>
    <w:rsid w:val="597D3CD2"/>
    <w:rsid w:val="59DF7060"/>
    <w:rsid w:val="5A2A77CB"/>
    <w:rsid w:val="5A864697"/>
    <w:rsid w:val="5A966841"/>
    <w:rsid w:val="5B2B7136"/>
    <w:rsid w:val="5B5515EA"/>
    <w:rsid w:val="5BCD5505"/>
    <w:rsid w:val="5C9C1D5B"/>
    <w:rsid w:val="5CA12681"/>
    <w:rsid w:val="5CBA0B8C"/>
    <w:rsid w:val="5D1274B1"/>
    <w:rsid w:val="5D7F2638"/>
    <w:rsid w:val="5D9C7672"/>
    <w:rsid w:val="5DB1459B"/>
    <w:rsid w:val="5E143CAE"/>
    <w:rsid w:val="5E292F73"/>
    <w:rsid w:val="5E72292D"/>
    <w:rsid w:val="5EA81952"/>
    <w:rsid w:val="5EB104D0"/>
    <w:rsid w:val="5EDB2621"/>
    <w:rsid w:val="5EFB1FB5"/>
    <w:rsid w:val="5F141169"/>
    <w:rsid w:val="5F23407D"/>
    <w:rsid w:val="5F6A6A16"/>
    <w:rsid w:val="5F7C6166"/>
    <w:rsid w:val="5FA16C76"/>
    <w:rsid w:val="5FA47C6C"/>
    <w:rsid w:val="5FBD6F63"/>
    <w:rsid w:val="602D1EF3"/>
    <w:rsid w:val="60B81B72"/>
    <w:rsid w:val="60E34B85"/>
    <w:rsid w:val="612D296D"/>
    <w:rsid w:val="61471953"/>
    <w:rsid w:val="61CF50F6"/>
    <w:rsid w:val="61D06C08"/>
    <w:rsid w:val="62F3288D"/>
    <w:rsid w:val="639501F6"/>
    <w:rsid w:val="63CA040C"/>
    <w:rsid w:val="63E85951"/>
    <w:rsid w:val="63EC1878"/>
    <w:rsid w:val="64931FA0"/>
    <w:rsid w:val="64AB7D76"/>
    <w:rsid w:val="64CD2D85"/>
    <w:rsid w:val="64DD24BB"/>
    <w:rsid w:val="64E32BCA"/>
    <w:rsid w:val="65D0342A"/>
    <w:rsid w:val="66097FA0"/>
    <w:rsid w:val="660E762F"/>
    <w:rsid w:val="66310371"/>
    <w:rsid w:val="66AB5445"/>
    <w:rsid w:val="67306F80"/>
    <w:rsid w:val="676D52E5"/>
    <w:rsid w:val="67EA6542"/>
    <w:rsid w:val="68500E47"/>
    <w:rsid w:val="68571BAC"/>
    <w:rsid w:val="68A12A2B"/>
    <w:rsid w:val="68C504DF"/>
    <w:rsid w:val="68D562D8"/>
    <w:rsid w:val="691208F5"/>
    <w:rsid w:val="697069A4"/>
    <w:rsid w:val="698F2A97"/>
    <w:rsid w:val="698F5951"/>
    <w:rsid w:val="69973F40"/>
    <w:rsid w:val="69E653BD"/>
    <w:rsid w:val="6A53047B"/>
    <w:rsid w:val="6A560179"/>
    <w:rsid w:val="6A886178"/>
    <w:rsid w:val="6BF81F30"/>
    <w:rsid w:val="6C1D60E2"/>
    <w:rsid w:val="6C5C0D9F"/>
    <w:rsid w:val="6C7177A9"/>
    <w:rsid w:val="6CFE1820"/>
    <w:rsid w:val="6D355F1C"/>
    <w:rsid w:val="6D431F34"/>
    <w:rsid w:val="6D9100A0"/>
    <w:rsid w:val="6DB95834"/>
    <w:rsid w:val="6DC32934"/>
    <w:rsid w:val="6E8A58E6"/>
    <w:rsid w:val="6F1E498B"/>
    <w:rsid w:val="700B22F8"/>
    <w:rsid w:val="702678FE"/>
    <w:rsid w:val="703E6560"/>
    <w:rsid w:val="71226DC6"/>
    <w:rsid w:val="71492103"/>
    <w:rsid w:val="7195070D"/>
    <w:rsid w:val="71D90342"/>
    <w:rsid w:val="722D3FD8"/>
    <w:rsid w:val="72714897"/>
    <w:rsid w:val="728234C5"/>
    <w:rsid w:val="72A50FB3"/>
    <w:rsid w:val="72AA47B8"/>
    <w:rsid w:val="72C306EE"/>
    <w:rsid w:val="732C7AE2"/>
    <w:rsid w:val="73772E78"/>
    <w:rsid w:val="73AD58E0"/>
    <w:rsid w:val="73E9745B"/>
    <w:rsid w:val="742F142C"/>
    <w:rsid w:val="74362508"/>
    <w:rsid w:val="7448375D"/>
    <w:rsid w:val="74A46E8A"/>
    <w:rsid w:val="74D45837"/>
    <w:rsid w:val="74D603AA"/>
    <w:rsid w:val="74E32C9F"/>
    <w:rsid w:val="751145F3"/>
    <w:rsid w:val="75497EAF"/>
    <w:rsid w:val="769E68DB"/>
    <w:rsid w:val="76AF4F78"/>
    <w:rsid w:val="76C23715"/>
    <w:rsid w:val="76C80A7B"/>
    <w:rsid w:val="770D256C"/>
    <w:rsid w:val="77860B9C"/>
    <w:rsid w:val="77DB62A8"/>
    <w:rsid w:val="78282485"/>
    <w:rsid w:val="785309B1"/>
    <w:rsid w:val="785826DF"/>
    <w:rsid w:val="79355EB7"/>
    <w:rsid w:val="79623E33"/>
    <w:rsid w:val="79B56140"/>
    <w:rsid w:val="79C850A0"/>
    <w:rsid w:val="79DD5F21"/>
    <w:rsid w:val="7A253FFC"/>
    <w:rsid w:val="7A45505E"/>
    <w:rsid w:val="7A9B031B"/>
    <w:rsid w:val="7AA66524"/>
    <w:rsid w:val="7AD600D9"/>
    <w:rsid w:val="7BC839BD"/>
    <w:rsid w:val="7C385843"/>
    <w:rsid w:val="7CB2188D"/>
    <w:rsid w:val="7CFC7838"/>
    <w:rsid w:val="7D441BA2"/>
    <w:rsid w:val="7D8A79E9"/>
    <w:rsid w:val="7D9E1976"/>
    <w:rsid w:val="7DC4769F"/>
    <w:rsid w:val="7DCE15D9"/>
    <w:rsid w:val="7E1B5CEA"/>
    <w:rsid w:val="7E453569"/>
    <w:rsid w:val="7E8821CD"/>
    <w:rsid w:val="7EAF239F"/>
    <w:rsid w:val="7EBE1D1C"/>
    <w:rsid w:val="7EC24923"/>
    <w:rsid w:val="7EF15D53"/>
    <w:rsid w:val="7F671B07"/>
    <w:rsid w:val="7F6F0D79"/>
    <w:rsid w:val="7F84533F"/>
    <w:rsid w:val="7FE04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13</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2025-01-15T02:01:53Z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