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156" w:beforeLines="50" w:line="480" w:lineRule="exact"/>
        <w:jc w:val="center"/>
        <w:rPr>
          <w:rFonts w:hint="eastAsia" w:ascii="仿宋_GB2312" w:hAnsi="宋体" w:eastAsia="仿宋_GB2312"/>
          <w:b/>
          <w:sz w:val="32"/>
          <w:szCs w:val="32"/>
          <w:highlight w:val="none"/>
          <w:lang w:eastAsia="zh-CN"/>
        </w:rPr>
      </w:pPr>
      <w:r>
        <w:rPr>
          <w:rFonts w:hint="eastAsia" w:ascii="仿宋_GB2312" w:hAnsi="宋体" w:eastAsia="仿宋_GB2312"/>
          <w:b/>
          <w:sz w:val="32"/>
          <w:szCs w:val="32"/>
          <w:highlight w:val="none"/>
          <w:lang w:eastAsia="zh-CN"/>
        </w:rPr>
        <w:t>益友融通-2025年个人炫彩周末007号理财产品说明书</w:t>
      </w:r>
    </w:p>
    <w:p>
      <w:pPr>
        <w:rPr>
          <w:highlight w:val="none"/>
        </w:rPr>
      </w:pPr>
    </w:p>
    <w:p>
      <w:pPr>
        <w:rPr>
          <w:rFonts w:ascii="仿宋" w:hAnsi="仿宋" w:eastAsia="仿宋"/>
          <w:b/>
          <w:szCs w:val="21"/>
          <w:highlight w:val="none"/>
        </w:rPr>
      </w:pPr>
      <w:r>
        <w:rPr>
          <w:rFonts w:hint="eastAsia" w:ascii="仿宋" w:hAnsi="仿宋" w:eastAsia="仿宋"/>
          <w:b/>
          <w:szCs w:val="21"/>
          <w:highlight w:val="none"/>
        </w:rPr>
        <w:t>重要须知:</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本产品说明书与《河北银行理财产品销售协议书》、《风险揭示书》、《客户权益须知》等共同构成完整的不可分割的理财合同。理财非存款、产品有风险、投资须谨慎。</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本理财产品仅向依据中华人民共和国有关法律法规及本产品说明书规定可以购买本理财产品的投资者发售。</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在购买本理财产品前，投资者应确保自己完全明白该项投资的性质和所涉及的风险，详细了解和审慎评估该理财产品的资金投资方向、风险类型等基本情况，在慎重考虑后自行决定购买与自身风险承受能力和资产管理需求匹配的理财产品。</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本理财产品不保证本金及收益，您的本金可能因市场变动而蒙受相应损失，您应充分认识投资风险，谨慎投资。</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银行销售的理财产品与存款存在明显区别，具有一定的风险。本产品涉及的主要风险包括本金及理财收益风险、政策风险、信用风险、市场风险、流动性风险、管理人风险、产品不成立风险、提前终止风险、信息传递风险、不可抗力及意外事件风险、税务风险、其他风险等。请仔细阅读本说明书“风险提示”部分。</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为非保本类理财产品，存在本金损失的可能。本理财产品的任何业绩比较区间、业绩比较基准、类似表述及依照相关法律和国家政策规定披露的过往净值或业绩均属不具有法律约束力的用语，不代表投资者可能获得的实际收益，亦不构成河北银行对本理财产品的任何收益承诺，客户所能获得的最终收益以河北银行实际支付的为准。</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投资者应当确保用于购买本理财产品的资金不来源于贷款、发行债券等筹集的非自有资金。</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在本产品存续期内，如因国家法律法规、监管规定发生变化，或是出于维持本产品正常运营的需要，在不损害投资者利益的前提下，河北银行有权单方对本产品说明书进行修订。河北银行决定对产品说明书进行修订的，将提前两个工作日在河北银行网站（www.hebbank.com）上向投资者进行公告。</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河北银行有权依法对本产品说明书进行解释。</w:t>
      </w:r>
    </w:p>
    <w:p>
      <w:pPr>
        <w:pStyle w:val="11"/>
        <w:ind w:left="420" w:firstLine="0" w:firstLineChars="0"/>
        <w:rPr>
          <w:rFonts w:ascii="仿宋" w:hAnsi="仿宋" w:eastAsia="仿宋"/>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一、释义</w:t>
      </w:r>
    </w:p>
    <w:p>
      <w:pPr>
        <w:pStyle w:val="11"/>
        <w:numPr>
          <w:ilvl w:val="0"/>
          <w:numId w:val="2"/>
        </w:numPr>
        <w:ind w:firstLineChars="0"/>
        <w:rPr>
          <w:rFonts w:ascii="仿宋" w:hAnsi="仿宋" w:eastAsia="仿宋"/>
          <w:b/>
          <w:szCs w:val="21"/>
          <w:highlight w:val="none"/>
        </w:rPr>
      </w:pPr>
      <w:r>
        <w:rPr>
          <w:rFonts w:hint="eastAsia" w:ascii="仿宋" w:hAnsi="仿宋" w:eastAsia="仿宋"/>
          <w:b/>
          <w:szCs w:val="21"/>
          <w:highlight w:val="none"/>
        </w:rPr>
        <w:t>河北银行净值型理财产品：</w:t>
      </w:r>
      <w:r>
        <w:rPr>
          <w:rFonts w:hint="eastAsia" w:ascii="仿宋" w:hAnsi="仿宋" w:eastAsia="仿宋"/>
          <w:szCs w:val="21"/>
          <w:highlight w:val="none"/>
        </w:rPr>
        <w:t>指河北银行作为管理人发起设立，按照与投资者约定的方式和投资范围等对客户委托的资金进行投资、运作、管理的特殊目的载体。银行净值型理财产品财产独立于管理人和托管人的固有财产，独立开户，单独管理、建账和核算。</w:t>
      </w:r>
    </w:p>
    <w:p>
      <w:pPr>
        <w:pStyle w:val="11"/>
        <w:numPr>
          <w:ilvl w:val="0"/>
          <w:numId w:val="2"/>
        </w:numPr>
        <w:ind w:firstLineChars="0"/>
        <w:rPr>
          <w:rFonts w:ascii="仿宋" w:hAnsi="仿宋" w:eastAsia="仿宋"/>
          <w:b/>
          <w:szCs w:val="21"/>
          <w:highlight w:val="none"/>
        </w:rPr>
      </w:pPr>
      <w:r>
        <w:rPr>
          <w:rFonts w:hint="eastAsia" w:ascii="仿宋" w:hAnsi="仿宋" w:eastAsia="仿宋"/>
          <w:b/>
          <w:szCs w:val="21"/>
          <w:highlight w:val="none"/>
        </w:rPr>
        <w:t>受托管理资金：</w:t>
      </w:r>
      <w:r>
        <w:rPr>
          <w:rFonts w:hint="eastAsia" w:ascii="仿宋" w:hAnsi="仿宋" w:eastAsia="仿宋"/>
          <w:szCs w:val="21"/>
          <w:highlight w:val="none"/>
        </w:rPr>
        <w:t>指投资者委托并交付河北银行进行管理的所有本金。</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受托管理资产：</w:t>
      </w:r>
      <w:r>
        <w:rPr>
          <w:rFonts w:hint="eastAsia" w:ascii="仿宋" w:hAnsi="仿宋" w:eastAsia="仿宋"/>
          <w:szCs w:val="21"/>
          <w:highlight w:val="none"/>
        </w:rPr>
        <w:t>指投资者委托河北</w:t>
      </w:r>
      <w:r>
        <w:rPr>
          <w:rFonts w:hint="eastAsia" w:ascii="仿宋" w:hAnsi="仿宋" w:eastAsia="仿宋"/>
          <w:szCs w:val="21"/>
          <w:highlight w:val="none"/>
          <w:lang w:eastAsia="zh-CN"/>
        </w:rPr>
        <w:t>银</w:t>
      </w:r>
      <w:r>
        <w:rPr>
          <w:rFonts w:hint="eastAsia" w:ascii="仿宋" w:hAnsi="仿宋" w:eastAsia="仿宋"/>
          <w:szCs w:val="21"/>
          <w:highlight w:val="none"/>
        </w:rPr>
        <w:t>行代其运作和管理受托管理资金所形成的各项资产的总和。</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募集期：</w:t>
      </w:r>
      <w:r>
        <w:rPr>
          <w:rFonts w:hint="eastAsia" w:ascii="仿宋" w:hAnsi="仿宋" w:eastAsia="仿宋"/>
          <w:szCs w:val="21"/>
          <w:highlight w:val="none"/>
        </w:rPr>
        <w:t>指本净值型理财产品自发行公告之日到净值型理财产品正式成立之间的时间段。</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成立日：</w:t>
      </w:r>
      <w:r>
        <w:rPr>
          <w:rFonts w:hint="eastAsia" w:ascii="仿宋" w:hAnsi="仿宋" w:eastAsia="仿宋"/>
          <w:szCs w:val="21"/>
          <w:highlight w:val="none"/>
        </w:rPr>
        <w:t>指本净值型理财产品在募集期达到募集金额的下限，正式成立的日期。</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银行工作日：</w:t>
      </w:r>
      <w:r>
        <w:rPr>
          <w:rFonts w:hint="eastAsia" w:ascii="仿宋" w:hAnsi="仿宋" w:eastAsia="仿宋"/>
          <w:szCs w:val="21"/>
          <w:highlight w:val="none"/>
        </w:rPr>
        <w:t>指银行对外办理一般对公业务的任何一天，不包括法定节假日和周六、周日，但包括政府临时规定公众应当工作的周六和周日。</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认购：</w:t>
      </w:r>
      <w:r>
        <w:rPr>
          <w:rFonts w:hint="eastAsia" w:ascii="仿宋" w:hAnsi="仿宋" w:eastAsia="仿宋"/>
          <w:szCs w:val="21"/>
          <w:highlight w:val="none"/>
        </w:rPr>
        <w:t>指投资者在净值型理财产品募集期间申请购买的行为。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lang w:eastAsia="zh-CN"/>
        </w:rPr>
        <w:t>认购登记日</w:t>
      </w:r>
      <w:r>
        <w:rPr>
          <w:rFonts w:hint="eastAsia" w:ascii="仿宋" w:hAnsi="仿宋" w:eastAsia="仿宋"/>
          <w:b/>
          <w:szCs w:val="21"/>
          <w:highlight w:val="none"/>
          <w:lang w:val="en-US" w:eastAsia="zh-CN"/>
        </w:rPr>
        <w:t>/产品登记日：</w:t>
      </w:r>
      <w:r>
        <w:rPr>
          <w:rFonts w:hint="eastAsia" w:ascii="仿宋" w:hAnsi="仿宋" w:eastAsia="仿宋"/>
          <w:szCs w:val="21"/>
          <w:highlight w:val="none"/>
          <w:lang w:val="en-US" w:eastAsia="zh-CN"/>
        </w:rPr>
        <w:t>指河北银行对投资者提交的认购申请进行理财份额登记的日期。</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申购：</w:t>
      </w:r>
      <w:r>
        <w:rPr>
          <w:rFonts w:hint="eastAsia" w:ascii="仿宋" w:hAnsi="仿宋" w:eastAsia="仿宋"/>
          <w:szCs w:val="21"/>
          <w:highlight w:val="none"/>
        </w:rPr>
        <w:t>指净值型理财产品成立后，投资者申请购买的行为。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赎回：</w:t>
      </w:r>
      <w:r>
        <w:rPr>
          <w:rFonts w:hint="eastAsia" w:ascii="仿宋" w:hAnsi="仿宋" w:eastAsia="仿宋"/>
          <w:szCs w:val="21"/>
          <w:highlight w:val="none"/>
        </w:rPr>
        <w:t>指在本净值型理财产品开放日，投资者将手上持有的份额按公布的单位份额净值卖出的行为。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单位份额净值：</w:t>
      </w:r>
      <w:r>
        <w:rPr>
          <w:rFonts w:hint="eastAsia" w:ascii="仿宋" w:hAnsi="仿宋" w:eastAsia="仿宋"/>
          <w:szCs w:val="21"/>
          <w:highlight w:val="none"/>
        </w:rPr>
        <w:t>指每份本净值型理财产品的净资产价值。</w:t>
      </w:r>
    </w:p>
    <w:p>
      <w:pPr>
        <w:ind w:left="420"/>
        <w:rPr>
          <w:rFonts w:ascii="仿宋" w:hAnsi="仿宋" w:eastAsia="仿宋"/>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二、产品基本要素</w:t>
      </w:r>
    </w:p>
    <w:tbl>
      <w:tblPr>
        <w:tblStyle w:val="6"/>
        <w:tblW w:w="9465" w:type="dxa"/>
        <w:jc w:val="center"/>
        <w:tblInd w:w="0" w:type="dxa"/>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
      <w:tblGrid>
        <w:gridCol w:w="2265"/>
        <w:gridCol w:w="7200"/>
      </w:tblGrid>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32"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产品名称</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益友融通-2025年个人炫彩周末007号理财产品</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32"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产品代码</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default" w:ascii="仿宋_GB2312" w:eastAsia="仿宋_GB2312"/>
                <w:kern w:val="0"/>
                <w:szCs w:val="21"/>
                <w:highlight w:val="none"/>
                <w:lang w:val="en-US" w:eastAsia="zh-CN"/>
              </w:rPr>
            </w:pPr>
            <w:bookmarkStart w:id="0" w:name="OLE_LINK1"/>
            <w:r>
              <w:rPr>
                <w:rFonts w:hint="eastAsia" w:ascii="仿宋_GB2312" w:eastAsia="仿宋_GB2312"/>
                <w:kern w:val="0"/>
                <w:szCs w:val="21"/>
                <w:highlight w:val="none"/>
                <w:lang w:val="en-US" w:eastAsia="zh-CN"/>
              </w:rPr>
              <w:t>HXAGI25007</w:t>
            </w:r>
            <w:bookmarkEnd w:id="0"/>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全国银行业理财信息登记系统编号</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该理财产品在全国银行业理财登记系统的登记编码是【C1088525000007】，客户可依据该编码在“中国理财网（www.chinawealth.com.cn)”查询该产品信息。</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产品说明书版本</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val="en-US" w:eastAsia="zh-CN"/>
              </w:rPr>
              <w:t>2025年第1版</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投资及收益币种</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人民币</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58"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ascii="仿宋_GB2312" w:eastAsia="仿宋_GB2312"/>
                <w:kern w:val="0"/>
                <w:szCs w:val="21"/>
                <w:highlight w:val="none"/>
              </w:rPr>
              <w:t>募集方式</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公募</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产品类型</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固定收益类</w:t>
            </w:r>
            <w:r>
              <w:rPr>
                <w:rFonts w:hint="eastAsia" w:ascii="仿宋_GB2312" w:eastAsia="仿宋_GB2312"/>
                <w:kern w:val="0"/>
                <w:szCs w:val="21"/>
                <w:highlight w:val="none"/>
                <w:lang w:val="en-US" w:eastAsia="zh-CN"/>
              </w:rPr>
              <w:t xml:space="preserve"> </w:t>
            </w:r>
            <w:r>
              <w:rPr>
                <w:rFonts w:hint="eastAsia" w:ascii="仿宋_GB2312" w:eastAsia="仿宋_GB2312"/>
                <w:kern w:val="0"/>
                <w:szCs w:val="21"/>
                <w:highlight w:val="none"/>
              </w:rPr>
              <w:t xml:space="preserve">封闭式净值型 </w:t>
            </w:r>
          </w:p>
          <w:p>
            <w:pPr>
              <w:widowControl/>
              <w:spacing w:line="360" w:lineRule="atLeast"/>
              <w:jc w:val="left"/>
              <w:rPr>
                <w:rFonts w:ascii="仿宋_GB2312" w:eastAsia="仿宋_GB2312"/>
                <w:kern w:val="0"/>
                <w:szCs w:val="21"/>
                <w:highlight w:val="none"/>
              </w:rPr>
            </w:pPr>
            <w:r>
              <w:rPr>
                <w:rFonts w:hint="eastAsia" w:ascii="仿宋_GB2312" w:eastAsia="仿宋_GB2312"/>
                <w:kern w:val="0"/>
                <w:sz w:val="18"/>
                <w:szCs w:val="18"/>
                <w:highlight w:val="none"/>
              </w:rPr>
              <w:t>（固定收益类产品是指根据监管相关规定，投资于存款、债券等债权类资产的比例不低于 80%的产品，河北银行对本产品的本金并不提供保证，也不承诺任何固定收益）</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产品风险等级</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中低风险</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适合客户</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谨慎型、稳健性、进取型、激进型</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运作模式</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封闭式</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9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销售对象</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公众投资者</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32"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募集期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2025年1月24日</w:t>
            </w:r>
            <w:r>
              <w:rPr>
                <w:rFonts w:hint="eastAsia" w:ascii="仿宋_GB2312" w:eastAsia="仿宋_GB2312"/>
                <w:kern w:val="0"/>
                <w:szCs w:val="21"/>
                <w:highlight w:val="none"/>
              </w:rPr>
              <w:t>至</w:t>
            </w:r>
            <w:r>
              <w:rPr>
                <w:rFonts w:hint="eastAsia" w:ascii="仿宋_GB2312" w:eastAsia="仿宋_GB2312"/>
                <w:kern w:val="0"/>
                <w:szCs w:val="21"/>
                <w:highlight w:val="none"/>
                <w:lang w:eastAsia="zh-CN"/>
              </w:rPr>
              <w:t>2025年2月4日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产品成立日</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2025年2月5日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58"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产品到期日</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w:t>
            </w:r>
            <w:r>
              <w:rPr>
                <w:rFonts w:hint="eastAsia" w:ascii="仿宋_GB2312" w:eastAsia="仿宋_GB2312"/>
                <w:kern w:val="0"/>
                <w:szCs w:val="21"/>
                <w:highlight w:val="none"/>
                <w:lang w:val="en-US" w:eastAsia="zh-CN"/>
              </w:rPr>
              <w:t>5</w:t>
            </w:r>
            <w:r>
              <w:rPr>
                <w:rFonts w:hint="eastAsia" w:ascii="仿宋_GB2312" w:eastAsia="仿宋_GB2312"/>
                <w:kern w:val="0"/>
                <w:szCs w:val="21"/>
                <w:highlight w:val="none"/>
                <w:lang w:eastAsia="zh-CN"/>
              </w:rPr>
              <w:t>月</w:t>
            </w:r>
            <w:r>
              <w:rPr>
                <w:rFonts w:hint="eastAsia" w:ascii="仿宋_GB2312" w:eastAsia="仿宋_GB2312"/>
                <w:kern w:val="0"/>
                <w:szCs w:val="21"/>
                <w:highlight w:val="none"/>
                <w:lang w:val="en-US" w:eastAsia="zh-CN"/>
              </w:rPr>
              <w:t>15</w:t>
            </w:r>
            <w:r>
              <w:rPr>
                <w:rFonts w:hint="eastAsia" w:ascii="仿宋_GB2312" w:eastAsia="仿宋_GB2312"/>
                <w:kern w:val="0"/>
                <w:szCs w:val="21"/>
                <w:highlight w:val="none"/>
                <w:lang w:eastAsia="zh-CN"/>
              </w:rPr>
              <w:t>日</w:t>
            </w:r>
            <w:bookmarkStart w:id="1" w:name="_GoBack"/>
            <w:bookmarkEnd w:id="1"/>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42"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产品期限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99</w:t>
            </w:r>
            <w:r>
              <w:rPr>
                <w:rFonts w:hint="eastAsia" w:ascii="仿宋_GB2312" w:eastAsia="仿宋_GB2312"/>
                <w:kern w:val="0"/>
                <w:szCs w:val="21"/>
                <w:highlight w:val="none"/>
              </w:rPr>
              <w:t>天</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color w:val="auto"/>
                <w:kern w:val="0"/>
                <w:szCs w:val="21"/>
                <w:highlight w:val="none"/>
                <w:lang w:eastAsia="zh-CN"/>
              </w:rPr>
              <w:t>发行机构</w:t>
            </w:r>
            <w:r>
              <w:rPr>
                <w:rFonts w:hint="eastAsia" w:ascii="仿宋_GB2312" w:eastAsia="仿宋_GB2312"/>
                <w:color w:val="auto"/>
                <w:kern w:val="0"/>
                <w:szCs w:val="21"/>
                <w:highlight w:val="none"/>
                <w:lang w:val="en-US" w:eastAsia="zh-CN"/>
              </w:rPr>
              <w:t>/</w:t>
            </w:r>
            <w:r>
              <w:rPr>
                <w:rFonts w:hint="eastAsia" w:ascii="仿宋_GB2312" w:eastAsia="仿宋_GB2312"/>
                <w:color w:val="auto"/>
                <w:kern w:val="0"/>
                <w:szCs w:val="21"/>
                <w:highlight w:val="none"/>
                <w:lang w:eastAsia="zh-CN"/>
              </w:rPr>
              <w:t>管理人</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color w:val="auto"/>
                <w:kern w:val="0"/>
                <w:szCs w:val="21"/>
                <w:highlight w:val="none"/>
                <w:lang w:eastAsia="zh-CN"/>
              </w:rPr>
              <w:t>河北银行股份有限公司</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color w:val="auto"/>
                <w:kern w:val="0"/>
                <w:szCs w:val="21"/>
                <w:highlight w:val="none"/>
                <w:lang w:eastAsia="zh-CN"/>
              </w:rPr>
              <w:t>统一社会信用代码</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color w:val="auto"/>
                <w:kern w:val="0"/>
                <w:szCs w:val="21"/>
                <w:highlight w:val="none"/>
                <w:lang w:val="en-US" w:eastAsia="zh-CN"/>
              </w:rPr>
              <w:t>91130000236047921J</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color w:val="auto"/>
                <w:kern w:val="0"/>
                <w:szCs w:val="21"/>
                <w:highlight w:val="none"/>
                <w:lang w:eastAsia="zh-CN"/>
              </w:rPr>
              <w:t>托管人</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color w:val="auto"/>
                <w:kern w:val="0"/>
                <w:szCs w:val="21"/>
                <w:highlight w:val="none"/>
                <w:lang w:val="en-US" w:eastAsia="zh-CN"/>
              </w:rPr>
              <w:t>工商银行河北省</w:t>
            </w:r>
            <w:r>
              <w:rPr>
                <w:rFonts w:hint="eastAsia" w:ascii="仿宋_GB2312" w:eastAsia="仿宋_GB2312"/>
                <w:color w:val="auto"/>
                <w:kern w:val="0"/>
                <w:szCs w:val="21"/>
                <w:highlight w:val="none"/>
                <w:lang w:eastAsia="zh-CN"/>
              </w:rPr>
              <w:t>分行（理财产品财产保管；托管账户开立；理财产品财产的清算交割；估值对账等）</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理财产品托管费率（年）</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0.0</w:t>
            </w:r>
            <w:r>
              <w:rPr>
                <w:rFonts w:hint="eastAsia" w:ascii="仿宋_GB2312" w:eastAsia="仿宋_GB2312"/>
                <w:kern w:val="0"/>
                <w:szCs w:val="21"/>
                <w:highlight w:val="none"/>
                <w:lang w:val="en-US" w:eastAsia="zh-CN"/>
              </w:rPr>
              <w:t>1</w:t>
            </w:r>
            <w:r>
              <w:rPr>
                <w:rFonts w:hint="eastAsia" w:ascii="仿宋_GB2312" w:eastAsia="仿宋_GB2312"/>
                <w:kern w:val="0"/>
                <w:szCs w:val="21"/>
                <w:highlight w:val="none"/>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产品销售手续费率（年）</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0</w:t>
            </w:r>
            <w:r>
              <w:rPr>
                <w:rFonts w:hint="eastAsia" w:ascii="仿宋_GB2312" w:eastAsia="仿宋_GB2312"/>
                <w:kern w:val="0"/>
                <w:szCs w:val="21"/>
                <w:highlight w:val="none"/>
                <w:lang w:val="en-US" w:eastAsia="zh-CN"/>
              </w:rPr>
              <w:t>.00</w:t>
            </w:r>
            <w:r>
              <w:rPr>
                <w:rFonts w:hint="eastAsia" w:ascii="仿宋_GB2312" w:eastAsia="仿宋_GB2312"/>
                <w:kern w:val="0"/>
                <w:szCs w:val="21"/>
                <w:highlight w:val="none"/>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投资管理费</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0.30</w:t>
            </w:r>
            <w:r>
              <w:rPr>
                <w:rFonts w:hint="eastAsia" w:ascii="仿宋_GB2312" w:eastAsia="仿宋_GB2312"/>
                <w:kern w:val="0"/>
                <w:szCs w:val="21"/>
                <w:highlight w:val="none"/>
              </w:rPr>
              <w:t xml:space="preserve">%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业绩比较基准</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业绩比较基准是产品管理人基于产品性质、投资策略、过往经验等因素对产品设定的投资目标，仅用于评价投资结果和测算业绩报酬，不代表产品的未来表现和实际收益，投资须谨慎。产品过往业绩不代表其未来表现，不构成新发理财产品业绩表现的保证。</w:t>
            </w:r>
          </w:p>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业绩比较基准测算：业绩比较基准由产品管理人依据理财产品的投资范围、投资策略、资产配置计划，并综合考虑市场环境等因素测算。</w:t>
            </w:r>
          </w:p>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lang w:eastAsia="zh-CN"/>
              </w:rPr>
              <w:t>本产品</w:t>
            </w:r>
            <w:r>
              <w:rPr>
                <w:rFonts w:hint="eastAsia" w:ascii="仿宋_GB2312" w:eastAsia="仿宋_GB2312"/>
                <w:color w:val="auto"/>
                <w:kern w:val="0"/>
                <w:szCs w:val="21"/>
                <w:highlight w:val="none"/>
              </w:rPr>
              <w:t>业绩比较基准</w:t>
            </w:r>
            <w:r>
              <w:rPr>
                <w:rFonts w:hint="eastAsia" w:ascii="仿宋_GB2312" w:eastAsia="仿宋_GB2312"/>
                <w:color w:val="auto"/>
                <w:kern w:val="0"/>
                <w:szCs w:val="21"/>
                <w:highlight w:val="none"/>
                <w:lang w:val="en-US" w:eastAsia="zh-CN"/>
              </w:rPr>
              <w:t>2.40%</w:t>
            </w:r>
            <w:r>
              <w:rPr>
                <w:rFonts w:hint="eastAsia" w:ascii="仿宋_GB2312" w:eastAsia="仿宋_GB2312"/>
                <w:color w:val="auto"/>
                <w:kern w:val="0"/>
                <w:szCs w:val="21"/>
                <w:highlight w:val="none"/>
              </w:rPr>
              <w:t>（年化），管理人有权调整业绩比较基准，并通过官网告知投资人。</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业绩报酬</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color w:val="auto"/>
                <w:kern w:val="0"/>
                <w:szCs w:val="21"/>
                <w:highlight w:val="none"/>
                <w:lang w:eastAsia="zh-CN"/>
              </w:rPr>
            </w:pPr>
            <w:r>
              <w:rPr>
                <w:rFonts w:hint="eastAsia" w:ascii="仿宋_GB2312" w:eastAsia="仿宋_GB2312"/>
                <w:color w:val="auto"/>
                <w:kern w:val="0"/>
                <w:szCs w:val="21"/>
                <w:highlight w:val="none"/>
              </w:rPr>
              <w:t>管理人对本理财产品收取超额业绩报酬</w:t>
            </w:r>
            <w:r>
              <w:rPr>
                <w:rFonts w:hint="eastAsia" w:ascii="仿宋_GB2312" w:eastAsia="仿宋_GB2312"/>
                <w:color w:val="auto"/>
                <w:kern w:val="0"/>
                <w:szCs w:val="21"/>
                <w:highlight w:val="none"/>
                <w:lang w:eastAsia="zh-CN"/>
              </w:rPr>
              <w:t>，产品确认日或终止日收取，</w:t>
            </w:r>
            <w:r>
              <w:rPr>
                <w:rFonts w:hint="eastAsia" w:ascii="仿宋_GB2312" w:eastAsia="仿宋_GB2312"/>
                <w:color w:val="auto"/>
                <w:kern w:val="0"/>
                <w:szCs w:val="21"/>
                <w:highlight w:val="none"/>
              </w:rPr>
              <w:t>产品持有收益率低于</w:t>
            </w:r>
            <w:r>
              <w:rPr>
                <w:rFonts w:hint="eastAsia" w:ascii="仿宋_GB2312" w:eastAsia="仿宋_GB2312"/>
                <w:color w:val="auto"/>
                <w:kern w:val="0"/>
                <w:szCs w:val="21"/>
                <w:highlight w:val="none"/>
                <w:lang w:val="en-US" w:eastAsia="zh-CN"/>
              </w:rPr>
              <w:t>2.40%</w:t>
            </w:r>
            <w:r>
              <w:rPr>
                <w:rFonts w:hint="eastAsia" w:ascii="仿宋_GB2312" w:eastAsia="仿宋_GB2312"/>
                <w:color w:val="auto"/>
                <w:kern w:val="0"/>
                <w:szCs w:val="21"/>
                <w:highlight w:val="none"/>
              </w:rPr>
              <w:t>（含）时，管理人不收取超额业绩报酬。持有收益率超出</w:t>
            </w:r>
            <w:r>
              <w:rPr>
                <w:rFonts w:hint="eastAsia" w:ascii="仿宋_GB2312" w:eastAsia="仿宋_GB2312"/>
                <w:color w:val="auto"/>
                <w:kern w:val="0"/>
                <w:szCs w:val="21"/>
                <w:highlight w:val="none"/>
                <w:lang w:val="en-US" w:eastAsia="zh-CN"/>
              </w:rPr>
              <w:t>2.40%</w:t>
            </w:r>
            <w:r>
              <w:rPr>
                <w:rFonts w:hint="eastAsia" w:ascii="仿宋_GB2312" w:eastAsia="仿宋_GB2312"/>
                <w:color w:val="auto"/>
                <w:kern w:val="0"/>
                <w:szCs w:val="21"/>
                <w:highlight w:val="none"/>
              </w:rPr>
              <w:t>的部分，管理人收取</w:t>
            </w:r>
            <w:r>
              <w:rPr>
                <w:rFonts w:hint="eastAsia" w:ascii="仿宋_GB2312" w:eastAsia="仿宋_GB2312"/>
                <w:color w:val="auto"/>
                <w:kern w:val="0"/>
                <w:szCs w:val="21"/>
                <w:highlight w:val="none"/>
                <w:lang w:eastAsia="zh-CN"/>
              </w:rPr>
              <w:t>90%</w:t>
            </w:r>
            <w:r>
              <w:rPr>
                <w:rFonts w:hint="eastAsia" w:ascii="仿宋_GB2312" w:eastAsia="仿宋_GB2312"/>
                <w:color w:val="auto"/>
                <w:kern w:val="0"/>
                <w:szCs w:val="21"/>
                <w:highlight w:val="none"/>
              </w:rPr>
              <w:t>作为超额业绩报酬。</w:t>
            </w:r>
          </w:p>
          <w:p>
            <w:pPr>
              <w:widowControl/>
              <w:spacing w:line="360" w:lineRule="atLeast"/>
              <w:jc w:val="left"/>
              <w:rPr>
                <w:rFonts w:hint="eastAsia" w:ascii="仿宋_GB2312" w:eastAsia="仿宋_GB2312"/>
                <w:color w:val="auto"/>
                <w:kern w:val="0"/>
                <w:szCs w:val="21"/>
                <w:highlight w:val="none"/>
                <w:lang w:eastAsia="zh-CN"/>
              </w:rPr>
            </w:pPr>
            <w:r>
              <w:rPr>
                <w:rFonts w:hint="eastAsia" w:ascii="仿宋_GB2312" w:eastAsia="仿宋_GB2312"/>
                <w:color w:val="auto"/>
                <w:kern w:val="0"/>
                <w:szCs w:val="21"/>
                <w:highlight w:val="none"/>
                <w:lang w:eastAsia="zh-CN"/>
              </w:rPr>
              <w:t>投资周期内每日计提超额业绩报酬，仅作为暂估数据，用于本产品会计核算和估值日估值。</w:t>
            </w:r>
            <w:r>
              <w:rPr>
                <w:rFonts w:hint="eastAsia" w:ascii="仿宋_GB2312" w:eastAsia="仿宋_GB2312"/>
                <w:color w:val="auto"/>
                <w:kern w:val="0"/>
                <w:szCs w:val="21"/>
                <w:highlight w:val="none"/>
              </w:rPr>
              <w:t>产品确认日或终止日</w:t>
            </w:r>
            <w:r>
              <w:rPr>
                <w:rFonts w:hint="eastAsia" w:ascii="仿宋_GB2312" w:eastAsia="仿宋_GB2312"/>
                <w:color w:val="auto"/>
                <w:kern w:val="0"/>
                <w:szCs w:val="21"/>
                <w:highlight w:val="none"/>
                <w:lang w:eastAsia="zh-CN"/>
              </w:rPr>
              <w:t>为本产品超额业绩报酬实际计提和收取日。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单位份额净值 </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单位份额净值为提取相关银行固定费用后的单位净值型理财产品份额净值，客户按该单位份额净值进行提前或到期终止时的分配，单位净值保留至小数点后</w:t>
            </w:r>
            <w:r>
              <w:rPr>
                <w:rFonts w:hint="eastAsia" w:ascii="仿宋_GB2312" w:eastAsia="仿宋_GB2312"/>
                <w:kern w:val="0"/>
                <w:szCs w:val="21"/>
                <w:highlight w:val="none"/>
                <w:lang w:eastAsia="zh-CN"/>
              </w:rPr>
              <w:t>八</w:t>
            </w:r>
            <w:r>
              <w:rPr>
                <w:rFonts w:hint="eastAsia" w:ascii="仿宋_GB2312" w:eastAsia="仿宋_GB2312"/>
                <w:kern w:val="0"/>
                <w:szCs w:val="21"/>
                <w:highlight w:val="none"/>
              </w:rPr>
              <w:t>位。A日单位份额净值=A日委托资产净值÷A日份额总量。</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认购份额 </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认购份额＝认购金额÷1元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产品规模下限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1000万元</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产品规模上限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100000万元</w:t>
            </w:r>
            <w:r>
              <w:rPr>
                <w:rFonts w:hint="eastAsia" w:ascii="仿宋_GB2312" w:eastAsia="仿宋_GB2312"/>
                <w:kern w:val="0"/>
                <w:szCs w:val="21"/>
                <w:highlight w:val="none"/>
              </w:rPr>
              <w:t>，根据产品实际运作情况产品管理人有权调整产品规模上限。</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9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销售区域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全行</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投资者认购起点</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募集期投资者认购金额</w:t>
            </w:r>
            <w:r>
              <w:rPr>
                <w:rFonts w:hint="eastAsia" w:ascii="仿宋_GB2312" w:eastAsia="仿宋_GB2312"/>
                <w:kern w:val="0"/>
                <w:szCs w:val="21"/>
                <w:highlight w:val="none"/>
                <w:lang w:val="en-US" w:eastAsia="zh-CN"/>
              </w:rPr>
              <w:t>5</w:t>
            </w:r>
            <w:r>
              <w:rPr>
                <w:rFonts w:hint="eastAsia" w:ascii="仿宋_GB2312" w:eastAsia="仿宋_GB2312"/>
                <w:kern w:val="0"/>
                <w:szCs w:val="21"/>
                <w:highlight w:val="none"/>
                <w:lang w:eastAsia="zh-CN"/>
              </w:rPr>
              <w:t>万</w:t>
            </w:r>
            <w:r>
              <w:rPr>
                <w:rFonts w:hint="eastAsia" w:ascii="仿宋_GB2312" w:eastAsia="仿宋_GB2312"/>
                <w:kern w:val="0"/>
                <w:szCs w:val="21"/>
                <w:highlight w:val="none"/>
              </w:rPr>
              <w:t>元起，以</w:t>
            </w:r>
            <w:r>
              <w:rPr>
                <w:rFonts w:hint="eastAsia" w:ascii="仿宋_GB2312" w:eastAsia="仿宋_GB2312"/>
                <w:kern w:val="0"/>
                <w:szCs w:val="21"/>
                <w:highlight w:val="none"/>
                <w:lang w:val="en-US" w:eastAsia="zh-CN"/>
              </w:rPr>
              <w:t>1万</w:t>
            </w:r>
            <w:r>
              <w:rPr>
                <w:rFonts w:hint="eastAsia" w:ascii="仿宋_GB2312" w:eastAsia="仿宋_GB2312"/>
                <w:kern w:val="0"/>
                <w:szCs w:val="21"/>
                <w:highlight w:val="none"/>
              </w:rPr>
              <w:t>元整数倍递增。</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投资者最低持有份额</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5</w:t>
            </w:r>
            <w:r>
              <w:rPr>
                <w:rFonts w:hint="eastAsia" w:ascii="仿宋_GB2312" w:eastAsia="仿宋_GB2312"/>
                <w:kern w:val="0"/>
                <w:szCs w:val="21"/>
                <w:highlight w:val="none"/>
                <w:lang w:eastAsia="zh-CN"/>
              </w:rPr>
              <w:t>万</w:t>
            </w:r>
            <w:r>
              <w:rPr>
                <w:rFonts w:hint="eastAsia" w:ascii="仿宋_GB2312" w:eastAsia="仿宋_GB2312"/>
                <w:kern w:val="0"/>
                <w:szCs w:val="21"/>
                <w:highlight w:val="none"/>
              </w:rPr>
              <w:t>份</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销售渠道</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网银、手机银行</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是否分级</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否</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税款</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rPr>
              <w:t>理财收益的应纳税款由客户自行申报及缴纳</w:t>
            </w:r>
            <w:r>
              <w:rPr>
                <w:rFonts w:hint="eastAsia" w:ascii="仿宋_GB2312" w:eastAsia="仿宋_GB2312"/>
                <w:kern w:val="0"/>
                <w:szCs w:val="21"/>
                <w:highlight w:val="none"/>
                <w:lang w:eastAsia="zh-CN"/>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清算期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认购日至募集期结束日之间，资金按人民币活期存款利率计付利息，但不计入投资本金。净值型理财产品终止日至资金到账日之间，客户资金不计利息。</w:t>
            </w:r>
          </w:p>
        </w:tc>
      </w:tr>
    </w:tbl>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三、理财产品认购、申购、赎回</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认购份额：1元人民币为1份。</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发行规模：发行规模下限为</w:t>
      </w:r>
      <w:r>
        <w:rPr>
          <w:rFonts w:hint="eastAsia" w:ascii="仿宋" w:hAnsi="仿宋" w:eastAsia="仿宋"/>
          <w:szCs w:val="21"/>
          <w:highlight w:val="none"/>
          <w:lang w:val="en-US" w:eastAsia="zh-CN"/>
        </w:rPr>
        <w:t>10</w:t>
      </w:r>
      <w:r>
        <w:rPr>
          <w:rFonts w:hint="eastAsia" w:ascii="仿宋" w:hAnsi="仿宋" w:eastAsia="仿宋"/>
          <w:szCs w:val="21"/>
          <w:highlight w:val="none"/>
        </w:rPr>
        <w:t>00万份，如认购金额不足</w:t>
      </w:r>
      <w:r>
        <w:rPr>
          <w:rFonts w:hint="eastAsia" w:ascii="仿宋" w:hAnsi="仿宋" w:eastAsia="仿宋"/>
          <w:szCs w:val="21"/>
          <w:highlight w:val="none"/>
          <w:lang w:val="en-US" w:eastAsia="zh-CN"/>
        </w:rPr>
        <w:t>10</w:t>
      </w:r>
      <w:r>
        <w:rPr>
          <w:rFonts w:hint="eastAsia" w:ascii="仿宋" w:hAnsi="仿宋" w:eastAsia="仿宋"/>
          <w:szCs w:val="21"/>
          <w:highlight w:val="none"/>
        </w:rPr>
        <w:t>00万份，河北银行有权宣布理财产品不成立。产品规模上限为</w:t>
      </w:r>
      <w:r>
        <w:rPr>
          <w:rFonts w:hint="eastAsia" w:ascii="仿宋" w:hAnsi="仿宋" w:eastAsia="仿宋"/>
          <w:szCs w:val="21"/>
          <w:highlight w:val="none"/>
          <w:lang w:val="en-US" w:eastAsia="zh-CN"/>
        </w:rPr>
        <w:t>10</w:t>
      </w:r>
      <w:r>
        <w:rPr>
          <w:rFonts w:hint="eastAsia" w:ascii="仿宋" w:hAnsi="仿宋" w:eastAsia="仿宋"/>
          <w:szCs w:val="21"/>
          <w:highlight w:val="none"/>
        </w:rPr>
        <w:t>0000万份，认购期内如产品份额超过理财产品发行规模上限，河北银行有权停止接受认购申请。</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理财产品认购期：</w:t>
      </w:r>
      <w:r>
        <w:rPr>
          <w:rFonts w:hint="eastAsia" w:ascii="仿宋" w:hAnsi="仿宋" w:eastAsia="仿宋"/>
          <w:szCs w:val="21"/>
          <w:highlight w:val="none"/>
          <w:lang w:eastAsia="zh-CN"/>
        </w:rPr>
        <w:t>2025年1月24日</w:t>
      </w:r>
      <w:r>
        <w:rPr>
          <w:rFonts w:hint="eastAsia" w:ascii="仿宋" w:hAnsi="仿宋" w:eastAsia="仿宋"/>
          <w:szCs w:val="21"/>
          <w:highlight w:val="none"/>
        </w:rPr>
        <w:t>9:00到</w:t>
      </w:r>
      <w:r>
        <w:rPr>
          <w:rFonts w:hint="eastAsia" w:ascii="仿宋" w:hAnsi="仿宋" w:eastAsia="仿宋"/>
          <w:szCs w:val="21"/>
          <w:highlight w:val="none"/>
          <w:lang w:eastAsia="zh-CN"/>
        </w:rPr>
        <w:t>2025年2月4日</w:t>
      </w:r>
      <w:r>
        <w:rPr>
          <w:rFonts w:hint="eastAsia" w:ascii="仿宋" w:hAnsi="仿宋" w:eastAsia="仿宋"/>
          <w:szCs w:val="21"/>
          <w:highlight w:val="none"/>
        </w:rPr>
        <w:t>17:00 ，认购期内以活期计付利息。</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认购登记日：本理财产品于</w:t>
      </w:r>
      <w:r>
        <w:rPr>
          <w:rFonts w:hint="eastAsia" w:ascii="仿宋" w:hAnsi="仿宋" w:eastAsia="仿宋"/>
          <w:szCs w:val="21"/>
          <w:highlight w:val="none"/>
          <w:lang w:eastAsia="zh-CN"/>
        </w:rPr>
        <w:t>2025年2月5日</w:t>
      </w:r>
      <w:r>
        <w:rPr>
          <w:rFonts w:hint="eastAsia" w:ascii="仿宋" w:hAnsi="仿宋" w:eastAsia="仿宋"/>
          <w:szCs w:val="21"/>
          <w:highlight w:val="none"/>
        </w:rPr>
        <w:t>进行认购登记。</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认购份额：在理财产品认购期内，投资者首次认购单笔最低限额为</w:t>
      </w:r>
      <w:r>
        <w:rPr>
          <w:rFonts w:hint="eastAsia" w:ascii="仿宋" w:hAnsi="仿宋" w:eastAsia="仿宋"/>
          <w:szCs w:val="21"/>
          <w:highlight w:val="none"/>
          <w:lang w:val="en-US" w:eastAsia="zh-CN"/>
        </w:rPr>
        <w:t>5</w:t>
      </w:r>
      <w:r>
        <w:rPr>
          <w:rFonts w:hint="eastAsia" w:ascii="仿宋" w:hAnsi="仿宋" w:eastAsia="仿宋"/>
          <w:szCs w:val="21"/>
          <w:highlight w:val="none"/>
          <w:lang w:eastAsia="zh-CN"/>
        </w:rPr>
        <w:t>万</w:t>
      </w:r>
      <w:r>
        <w:rPr>
          <w:rFonts w:hint="eastAsia" w:ascii="仿宋" w:hAnsi="仿宋" w:eastAsia="仿宋"/>
          <w:szCs w:val="21"/>
          <w:highlight w:val="none"/>
        </w:rPr>
        <w:t>份，高于认购单笔最低限额的份额须为</w:t>
      </w:r>
      <w:r>
        <w:rPr>
          <w:rFonts w:hint="eastAsia" w:ascii="仿宋" w:hAnsi="仿宋" w:eastAsia="仿宋"/>
          <w:szCs w:val="21"/>
          <w:highlight w:val="none"/>
          <w:lang w:val="en-US" w:eastAsia="zh-CN"/>
        </w:rPr>
        <w:t>1万</w:t>
      </w:r>
      <w:r>
        <w:rPr>
          <w:rFonts w:hint="eastAsia" w:ascii="仿宋" w:hAnsi="仿宋" w:eastAsia="仿宋"/>
          <w:szCs w:val="21"/>
          <w:highlight w:val="none"/>
        </w:rPr>
        <w:t>份的整数倍。</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在认购期内，投资者可多次认购，本理财产品累积认购份额达到发行规模上限时，河北银行有权停止接受认购申请。</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认购方式及确认：</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本理财产品采取金额认购的方式；</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受理认购申请并不表示对该申请成功的确认，而仅代表河北银行收到了认购申请，申请是否成功以河北银行的最终另行确认为准。河北银行在认购登记日为投资者登记认购份额，投资者应在本理财产品成立后及时查询最终成交确认情况及认购的份额；</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认购撤单：在认购登记日前的认购期内允许投资者全部或者部分撤销已递交的认购申请；</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投资者在认购期内认购成功后，认购款项以人民币资金形式存入河北银行，且我行有权冻结该部分资金。该部分资金自认购之日（含）起，至认购登记日（含）止，河北银行以活期计付利息。</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发售对象：本理财产品仅向依据中华人民共和国有关法律法规及其他有关规定可以购买本理财产品的投资者发售。</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单笔认购上限：投资者单笔认购上限为20000万元和本理财产品规模上限的二者的较小值，河北银行有权拒绝超过单笔认购上限部分的申请。对于河北银行决定拒绝的认购</w:t>
      </w:r>
      <w:r>
        <w:rPr>
          <w:rFonts w:hint="eastAsia" w:ascii="仿宋" w:hAnsi="仿宋" w:eastAsia="仿宋"/>
          <w:szCs w:val="21"/>
          <w:highlight w:val="none"/>
          <w:lang w:eastAsia="zh-CN"/>
        </w:rPr>
        <w:t>申请</w:t>
      </w:r>
      <w:r>
        <w:rPr>
          <w:rFonts w:hint="eastAsia" w:ascii="仿宋" w:hAnsi="仿宋" w:eastAsia="仿宋"/>
          <w:szCs w:val="21"/>
          <w:highlight w:val="none"/>
        </w:rPr>
        <w:t>，视为认购不成功。</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单一客户持有上限：单一个人投资者认购本理财产品，其持有上限为20000万元和本理财产品规模上限的较小值。河北银行有权拒绝超过单一客户持有上限部分的申请。对于河北银行决定拒绝的认购</w:t>
      </w:r>
      <w:r>
        <w:rPr>
          <w:rFonts w:hint="eastAsia" w:ascii="仿宋" w:hAnsi="仿宋" w:eastAsia="仿宋"/>
          <w:szCs w:val="21"/>
          <w:highlight w:val="none"/>
          <w:lang w:eastAsia="zh-CN"/>
        </w:rPr>
        <w:t>申请</w:t>
      </w:r>
      <w:r>
        <w:rPr>
          <w:rFonts w:hint="eastAsia" w:ascii="仿宋" w:hAnsi="仿宋" w:eastAsia="仿宋"/>
          <w:szCs w:val="21"/>
          <w:highlight w:val="none"/>
        </w:rPr>
        <w:t>，视为认购不成功。</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本产品为封闭式运作，存续期间不开放申购和赎回。</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四、理财产品投资管理</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投资管理人</w:t>
      </w:r>
    </w:p>
    <w:p>
      <w:pPr>
        <w:ind w:left="709" w:firstLine="420" w:firstLineChars="200"/>
        <w:rPr>
          <w:rFonts w:ascii="仿宋" w:hAnsi="仿宋" w:eastAsia="仿宋"/>
          <w:szCs w:val="21"/>
          <w:highlight w:val="none"/>
        </w:rPr>
      </w:pPr>
      <w:r>
        <w:rPr>
          <w:rFonts w:hint="eastAsia" w:ascii="仿宋" w:hAnsi="仿宋" w:eastAsia="仿宋"/>
          <w:szCs w:val="21"/>
          <w:highlight w:val="none"/>
        </w:rPr>
        <w:t>本理财产品的投资管理人为河北银行股份有限公司（以下简称“河北银行”），河北银行负责本理财产品的投资运作和产品管理。投资者在此授权并同意河北银行享有以下权利：</w:t>
      </w:r>
    </w:p>
    <w:p>
      <w:pPr>
        <w:pStyle w:val="11"/>
        <w:numPr>
          <w:ilvl w:val="0"/>
          <w:numId w:val="6"/>
        </w:numPr>
        <w:ind w:firstLineChars="0"/>
        <w:rPr>
          <w:rFonts w:ascii="仿宋" w:hAnsi="仿宋" w:eastAsia="仿宋"/>
          <w:szCs w:val="21"/>
          <w:highlight w:val="none"/>
        </w:rPr>
      </w:pPr>
      <w:r>
        <w:rPr>
          <w:rFonts w:hint="eastAsia" w:ascii="仿宋" w:hAnsi="仿宋" w:eastAsia="仿宋"/>
          <w:szCs w:val="21"/>
          <w:highlight w:val="none"/>
        </w:rPr>
        <w:t>以理财产品投资管理人的名义，依照法律法规相关规定以及为</w:t>
      </w:r>
      <w:r>
        <w:rPr>
          <w:rFonts w:hint="eastAsia" w:ascii="仿宋" w:hAnsi="仿宋" w:eastAsia="仿宋"/>
          <w:szCs w:val="21"/>
          <w:highlight w:val="none"/>
          <w:lang w:eastAsia="zh-CN"/>
        </w:rPr>
        <w:t>了</w:t>
      </w:r>
      <w:r>
        <w:rPr>
          <w:rFonts w:hint="eastAsia" w:ascii="仿宋" w:hAnsi="仿宋" w:eastAsia="仿宋"/>
          <w:szCs w:val="21"/>
          <w:highlight w:val="none"/>
        </w:rPr>
        <w:t>理财产品的利益，对被投资的各类基金（含公募基金和私募基金）、公司/企业等行使出资人/投资者权利（</w:t>
      </w:r>
      <w:r>
        <w:rPr>
          <w:rFonts w:hint="eastAsia" w:ascii="仿宋" w:hAnsi="仿宋" w:eastAsia="仿宋"/>
          <w:szCs w:val="21"/>
          <w:highlight w:val="none"/>
          <w:lang w:eastAsia="zh-CN"/>
        </w:rPr>
        <w:t>包括表决权、股东查阅复制权、知情权、分红权与优先选购权、法律规定的其他权利等</w:t>
      </w:r>
      <w:r>
        <w:rPr>
          <w:rFonts w:hint="eastAsia" w:ascii="仿宋" w:hAnsi="仿宋" w:eastAsia="仿宋"/>
          <w:szCs w:val="21"/>
          <w:highlight w:val="none"/>
        </w:rPr>
        <w:t>）以及行使因理财产品财产投资于证券类基础资产（</w:t>
      </w:r>
      <w:r>
        <w:rPr>
          <w:rFonts w:hint="eastAsia" w:ascii="仿宋" w:hAnsi="仿宋" w:eastAsia="仿宋"/>
          <w:szCs w:val="21"/>
          <w:highlight w:val="none"/>
          <w:lang w:eastAsia="zh-CN"/>
        </w:rPr>
        <w:t>包括</w:t>
      </w:r>
      <w:r>
        <w:rPr>
          <w:rFonts w:hint="eastAsia" w:ascii="仿宋" w:hAnsi="仿宋" w:eastAsia="仿宋"/>
          <w:szCs w:val="21"/>
          <w:highlight w:val="none"/>
        </w:rPr>
        <w:t>债券</w:t>
      </w:r>
      <w:r>
        <w:rPr>
          <w:rFonts w:hint="eastAsia" w:ascii="仿宋" w:hAnsi="仿宋" w:eastAsia="仿宋"/>
          <w:szCs w:val="21"/>
          <w:highlight w:val="none"/>
          <w:lang w:eastAsia="zh-CN"/>
        </w:rPr>
        <w:t>、股票等</w:t>
      </w:r>
      <w:r>
        <w:rPr>
          <w:rFonts w:hint="eastAsia" w:ascii="仿宋" w:hAnsi="仿宋" w:eastAsia="仿宋"/>
          <w:szCs w:val="21"/>
          <w:highlight w:val="none"/>
        </w:rPr>
        <w:t>）或其他基础资产（</w:t>
      </w:r>
      <w:r>
        <w:rPr>
          <w:rFonts w:hint="eastAsia" w:ascii="仿宋" w:hAnsi="仿宋" w:eastAsia="仿宋"/>
          <w:szCs w:val="21"/>
          <w:highlight w:val="none"/>
          <w:lang w:eastAsia="zh-CN"/>
        </w:rPr>
        <w:t>包括</w:t>
      </w:r>
      <w:r>
        <w:rPr>
          <w:rFonts w:hint="eastAsia" w:ascii="仿宋" w:hAnsi="仿宋" w:eastAsia="仿宋"/>
          <w:szCs w:val="21"/>
          <w:highlight w:val="none"/>
        </w:rPr>
        <w:t>债权类资产</w:t>
      </w:r>
      <w:r>
        <w:rPr>
          <w:rFonts w:hint="eastAsia" w:ascii="仿宋" w:hAnsi="仿宋" w:eastAsia="仿宋"/>
          <w:szCs w:val="21"/>
          <w:highlight w:val="none"/>
          <w:lang w:eastAsia="zh-CN"/>
        </w:rPr>
        <w:t>、收益权类资产等</w:t>
      </w:r>
      <w:r>
        <w:rPr>
          <w:rFonts w:hint="eastAsia" w:ascii="仿宋" w:hAnsi="仿宋" w:eastAsia="仿宋"/>
          <w:szCs w:val="21"/>
          <w:highlight w:val="none"/>
        </w:rPr>
        <w:t>）所产生的相关权利</w:t>
      </w:r>
      <w:r>
        <w:rPr>
          <w:rFonts w:hint="eastAsia" w:ascii="仿宋" w:hAnsi="仿宋" w:eastAsia="仿宋"/>
          <w:szCs w:val="21"/>
          <w:highlight w:val="none"/>
          <w:lang w:eastAsia="zh-CN"/>
        </w:rPr>
        <w:t>；</w:t>
      </w:r>
    </w:p>
    <w:p>
      <w:pPr>
        <w:pStyle w:val="11"/>
        <w:numPr>
          <w:ilvl w:val="0"/>
          <w:numId w:val="6"/>
        </w:numPr>
        <w:ind w:firstLineChars="0"/>
        <w:rPr>
          <w:rFonts w:ascii="仿宋" w:hAnsi="仿宋" w:eastAsia="仿宋"/>
          <w:szCs w:val="21"/>
          <w:highlight w:val="none"/>
        </w:rPr>
      </w:pPr>
      <w:r>
        <w:rPr>
          <w:rFonts w:hint="eastAsia" w:ascii="仿宋" w:hAnsi="仿宋" w:eastAsia="仿宋"/>
          <w:szCs w:val="21"/>
          <w:highlight w:val="none"/>
        </w:rPr>
        <w:t>以理财产品投资管理人的名义，依照法律法规相关规定以及代表理财产品份额持有人的利益行使代为追索的权利（包括提起诉讼/仲裁、申请保全/执行的权利</w:t>
      </w:r>
      <w:r>
        <w:rPr>
          <w:rFonts w:hint="eastAsia" w:ascii="仿宋" w:hAnsi="仿宋" w:eastAsia="仿宋"/>
          <w:szCs w:val="21"/>
          <w:highlight w:val="none"/>
          <w:lang w:eastAsia="zh-CN"/>
        </w:rPr>
        <w:t>等</w:t>
      </w:r>
      <w:r>
        <w:rPr>
          <w:rFonts w:hint="eastAsia" w:ascii="仿宋" w:hAnsi="仿宋" w:eastAsia="仿宋"/>
          <w:szCs w:val="21"/>
          <w:highlight w:val="none"/>
        </w:rPr>
        <w:t>）或者实施其他法律行为。</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投资策略及目标</w:t>
      </w:r>
    </w:p>
    <w:p>
      <w:pPr>
        <w:pStyle w:val="11"/>
        <w:ind w:left="845"/>
        <w:rPr>
          <w:rFonts w:ascii="仿宋" w:hAnsi="仿宋" w:eastAsia="仿宋"/>
          <w:szCs w:val="21"/>
          <w:highlight w:val="none"/>
        </w:rPr>
      </w:pPr>
      <w:r>
        <w:rPr>
          <w:rFonts w:hint="eastAsia" w:ascii="仿宋" w:hAnsi="仿宋" w:eastAsia="仿宋"/>
          <w:szCs w:val="21"/>
          <w:highlight w:val="none"/>
        </w:rPr>
        <w:t>在有效控制投资风险的前提下，实现委托资产的保值增值，为委托人谋求稳定的投资回报。</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理财产品的投资方向和范围</w:t>
      </w:r>
    </w:p>
    <w:p>
      <w:pPr>
        <w:ind w:left="709" w:firstLine="420" w:firstLineChars="200"/>
        <w:rPr>
          <w:rFonts w:ascii="仿宋" w:hAnsi="仿宋" w:eastAsia="仿宋"/>
          <w:szCs w:val="21"/>
          <w:highlight w:val="none"/>
        </w:rPr>
      </w:pPr>
      <w:r>
        <w:rPr>
          <w:rFonts w:hint="eastAsia" w:ascii="仿宋" w:hAnsi="仿宋" w:eastAsia="仿宋"/>
          <w:szCs w:val="21"/>
          <w:highlight w:val="none"/>
        </w:rPr>
        <w:t>本理财产品募集的资金主要投资于固定收益类资产。主要投资范围包括：</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货币市场工具：包括银行存款、大额存单、同业存单（CD）、债券回购、货币市场基金等银行间、交易所</w:t>
      </w:r>
      <w:r>
        <w:rPr>
          <w:rFonts w:hint="eastAsia" w:ascii="仿宋" w:hAnsi="仿宋" w:eastAsia="仿宋"/>
          <w:szCs w:val="21"/>
          <w:highlight w:val="none"/>
          <w:lang w:eastAsia="zh-CN"/>
        </w:rPr>
        <w:t>资金</w:t>
      </w:r>
      <w:r>
        <w:rPr>
          <w:rFonts w:hint="eastAsia" w:ascii="仿宋" w:hAnsi="仿宋" w:eastAsia="仿宋"/>
          <w:szCs w:val="21"/>
          <w:highlight w:val="none"/>
        </w:rPr>
        <w:t>融资工具；</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lang w:eastAsia="zh-CN"/>
        </w:rPr>
        <w:t>标准化</w:t>
      </w:r>
      <w:r>
        <w:rPr>
          <w:rFonts w:hint="eastAsia" w:ascii="仿宋" w:hAnsi="仿宋" w:eastAsia="仿宋"/>
          <w:szCs w:val="21"/>
          <w:highlight w:val="none"/>
        </w:rPr>
        <w:t>债权类资产：国债、政策性金融债、金融债、地方政府债、</w:t>
      </w:r>
      <w:r>
        <w:rPr>
          <w:rFonts w:hint="eastAsia" w:ascii="仿宋" w:hAnsi="仿宋" w:eastAsia="仿宋"/>
          <w:szCs w:val="21"/>
          <w:highlight w:val="none"/>
          <w:lang w:eastAsia="zh-CN"/>
        </w:rPr>
        <w:t>央行票据、</w:t>
      </w:r>
      <w:r>
        <w:rPr>
          <w:rFonts w:hint="eastAsia" w:ascii="仿宋" w:hAnsi="仿宋" w:eastAsia="仿宋"/>
          <w:szCs w:val="21"/>
          <w:highlight w:val="none"/>
        </w:rPr>
        <w:t>短期融资券、超短期融资券、中期票据、企业债、公司债、非公开定向债务融资工具、项目收益债、项目收益票据、资产支持证券、资产支持票据</w:t>
      </w:r>
      <w:r>
        <w:rPr>
          <w:rFonts w:hint="eastAsia" w:ascii="仿宋" w:hAnsi="仿宋" w:eastAsia="仿宋"/>
          <w:szCs w:val="21"/>
          <w:highlight w:val="none"/>
          <w:lang w:eastAsia="zh-CN"/>
        </w:rPr>
        <w:t>、</w:t>
      </w:r>
      <w:r>
        <w:rPr>
          <w:rFonts w:hint="eastAsia" w:ascii="仿宋" w:hAnsi="仿宋" w:eastAsia="仿宋"/>
          <w:szCs w:val="21"/>
          <w:highlight w:val="none"/>
        </w:rPr>
        <w:t>次级债</w:t>
      </w:r>
      <w:r>
        <w:rPr>
          <w:rFonts w:hint="eastAsia" w:ascii="仿宋" w:hAnsi="仿宋" w:eastAsia="仿宋"/>
          <w:szCs w:val="21"/>
          <w:highlight w:val="none"/>
          <w:lang w:eastAsia="zh-CN"/>
        </w:rPr>
        <w:t>、</w:t>
      </w:r>
      <w:r>
        <w:rPr>
          <w:rFonts w:hint="eastAsia" w:ascii="仿宋" w:hAnsi="仿宋" w:eastAsia="仿宋"/>
          <w:szCs w:val="21"/>
          <w:highlight w:val="none"/>
        </w:rPr>
        <w:t>可转债、可交换债等银行间、交易所市场债券及债务融资工具等；</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非标准化债权类资产</w:t>
      </w:r>
      <w:r>
        <w:rPr>
          <w:rFonts w:hint="eastAsia" w:ascii="仿宋" w:hAnsi="仿宋" w:eastAsia="仿宋"/>
          <w:szCs w:val="21"/>
          <w:highlight w:val="none"/>
          <w:lang w:eastAsia="zh-CN"/>
        </w:rPr>
        <w:t>：同业借款、信托贷款、应收账款、收益权转让、承兑汇票、信用证、收益凭证、信贷资产流转、交易所挂牌债权资产、可续期贷款</w:t>
      </w:r>
      <w:r>
        <w:rPr>
          <w:rFonts w:hint="eastAsia" w:ascii="仿宋" w:hAnsi="仿宋" w:eastAsia="仿宋"/>
          <w:szCs w:val="21"/>
          <w:highlight w:val="none"/>
          <w:lang w:val="en-US" w:eastAsia="zh-CN"/>
        </w:rPr>
        <w:t>/永续债权投资资产等；</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其他类资产：</w:t>
      </w:r>
      <w:r>
        <w:rPr>
          <w:rFonts w:hint="eastAsia" w:ascii="仿宋" w:hAnsi="仿宋" w:eastAsia="仿宋"/>
          <w:szCs w:val="21"/>
          <w:highlight w:val="none"/>
          <w:lang w:eastAsia="zh-CN"/>
        </w:rPr>
        <w:t>资产管理产品、</w:t>
      </w:r>
      <w:r>
        <w:rPr>
          <w:rFonts w:hint="eastAsia" w:ascii="仿宋" w:hAnsi="仿宋" w:eastAsia="仿宋"/>
          <w:szCs w:val="21"/>
          <w:highlight w:val="none"/>
        </w:rPr>
        <w:t>公募基金、权益类资产以及国务院银行业监督管理机构认可的其他资产。</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投资资产比例范围</w:t>
      </w:r>
    </w:p>
    <w:p>
      <w:pPr>
        <w:ind w:left="840" w:leftChars="400" w:firstLine="420" w:firstLineChars="200"/>
        <w:rPr>
          <w:rFonts w:hint="eastAsia" w:ascii="仿宋" w:hAnsi="仿宋" w:eastAsia="仿宋"/>
          <w:szCs w:val="21"/>
          <w:highlight w:val="none"/>
          <w:lang w:eastAsia="zh-CN"/>
        </w:rPr>
      </w:pPr>
      <w:r>
        <w:rPr>
          <w:rFonts w:hint="eastAsia" w:ascii="仿宋" w:hAnsi="仿宋" w:eastAsia="仿宋"/>
          <w:szCs w:val="21"/>
          <w:highlight w:val="none"/>
        </w:rPr>
        <w:t>固定收益类资产的比例不低于产品资产净值的80%</w:t>
      </w:r>
      <w:r>
        <w:rPr>
          <w:rFonts w:hint="eastAsia" w:ascii="仿宋" w:hAnsi="仿宋" w:eastAsia="仿宋"/>
          <w:szCs w:val="21"/>
          <w:highlight w:val="none"/>
          <w:lang w:eastAsia="zh-CN"/>
        </w:rPr>
        <w:t>，</w:t>
      </w:r>
      <w:r>
        <w:rPr>
          <w:rFonts w:hint="eastAsia" w:ascii="仿宋" w:hAnsi="仿宋" w:eastAsia="仿宋"/>
          <w:szCs w:val="21"/>
          <w:highlight w:val="none"/>
        </w:rPr>
        <w:t>本产品的总资产不超过产品净资产的200%</w:t>
      </w:r>
      <w:r>
        <w:rPr>
          <w:rFonts w:hint="eastAsia" w:ascii="仿宋" w:hAnsi="仿宋" w:eastAsia="仿宋"/>
          <w:szCs w:val="21"/>
          <w:highlight w:val="none"/>
          <w:lang w:eastAsia="zh-CN"/>
        </w:rPr>
        <w:t>。</w:t>
      </w:r>
    </w:p>
    <w:p>
      <w:pPr>
        <w:ind w:left="735" w:leftChars="350" w:firstLine="420" w:firstLineChars="200"/>
        <w:rPr>
          <w:rFonts w:ascii="仿宋" w:hAnsi="仿宋" w:eastAsia="仿宋"/>
          <w:szCs w:val="21"/>
          <w:highlight w:val="none"/>
        </w:rPr>
      </w:pPr>
      <w:r>
        <w:rPr>
          <w:rFonts w:hint="eastAsia" w:ascii="仿宋" w:hAnsi="仿宋" w:eastAsia="仿宋"/>
          <w:szCs w:val="21"/>
          <w:highlight w:val="none"/>
        </w:rPr>
        <w:t>河北银行作为理财产品管理人，有权利对理财投资范围、比例进行调整及变更。如投资范围、比例等发生调整，产品管理人将于调整事项生效前3个工作日通过我行官方网站予以公布或通过与投资者约定的其他方式进行通知。若本理财产品的投资者不接受上述调整，则应及时通过河北银行营业网点提前赎回本产品；若本理财产品投资者未在规定时间内提前赎回本产品，则视为本理财产品投资者对相关调整无异议且同意在调整后继续持有本理财</w:t>
      </w:r>
      <w:r>
        <w:rPr>
          <w:rFonts w:hint="eastAsia" w:ascii="仿宋" w:hAnsi="仿宋" w:eastAsia="仿宋"/>
          <w:szCs w:val="21"/>
          <w:highlight w:val="none"/>
          <w:lang w:eastAsia="zh-CN"/>
        </w:rPr>
        <w:t>产品</w:t>
      </w:r>
      <w:r>
        <w:rPr>
          <w:rFonts w:hint="eastAsia" w:ascii="仿宋" w:hAnsi="仿宋" w:eastAsia="仿宋"/>
          <w:szCs w:val="21"/>
          <w:highlight w:val="none"/>
        </w:rPr>
        <w:t>。若因市场发生重大变化等非因产品管理人主观因素导致本产品在存续期间投资比例暂时超出规定区间，本产品管理人将恪尽职守，在以投资者获得最大利益的前提下，在流动性受限资产可出售、可转让或者恢复交易的1</w:t>
      </w:r>
      <w:r>
        <w:rPr>
          <w:rFonts w:hint="eastAsia" w:ascii="仿宋" w:hAnsi="仿宋" w:eastAsia="仿宋"/>
          <w:szCs w:val="21"/>
          <w:highlight w:val="none"/>
          <w:lang w:val="en-US" w:eastAsia="zh-CN"/>
        </w:rPr>
        <w:t>5</w:t>
      </w:r>
      <w:r>
        <w:rPr>
          <w:rFonts w:hint="eastAsia" w:ascii="仿宋" w:hAnsi="仿宋" w:eastAsia="仿宋"/>
          <w:szCs w:val="21"/>
          <w:highlight w:val="none"/>
        </w:rPr>
        <w:t>个工作日内使投资比例恢复到规定区间。</w:t>
      </w:r>
    </w:p>
    <w:p>
      <w:pPr>
        <w:rPr>
          <w:rFonts w:ascii="仿宋" w:hAnsi="仿宋" w:eastAsia="仿宋"/>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五、理财产品估值和净值</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w:t>
      </w:r>
      <w:r>
        <w:rPr>
          <w:rFonts w:hint="eastAsia" w:ascii="仿宋" w:hAnsi="仿宋" w:eastAsia="仿宋"/>
          <w:szCs w:val="21"/>
          <w:highlight w:val="none"/>
          <w:lang w:eastAsia="zh-CN"/>
        </w:rPr>
        <w:t>原则</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1）匹配性原则。金融工具的公允价值确定方法应与理财产品的类型相匹配；</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2）一致性原则。同类型产品中同一类别金融工具应采用一致的估值方法，不得随意变更。确需变更的，应经充分论证并予以披露；</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3）审慎性原则。审慎确认和计量公允价值时，不高估公允价值收益，不低估公允价值损失；</w:t>
      </w:r>
    </w:p>
    <w:p>
      <w:pPr>
        <w:ind w:left="1575" w:leftChars="600" w:hanging="315" w:hangingChars="150"/>
        <w:rPr>
          <w:rFonts w:ascii="仿宋" w:hAnsi="仿宋" w:eastAsia="仿宋"/>
          <w:szCs w:val="21"/>
          <w:highlight w:val="none"/>
        </w:rPr>
      </w:pPr>
      <w:r>
        <w:rPr>
          <w:rFonts w:hint="eastAsia" w:ascii="仿宋" w:hAnsi="仿宋" w:eastAsia="仿宋"/>
          <w:szCs w:val="21"/>
          <w:highlight w:val="none"/>
        </w:rPr>
        <w:t>4）充分性原则。估值过程中充分考虑金融资产的性质、重要性及复杂程度等因素</w:t>
      </w:r>
      <w:r>
        <w:rPr>
          <w:rFonts w:hint="eastAsia" w:ascii="仿宋" w:hAnsi="仿宋" w:eastAsia="仿宋"/>
          <w:szCs w:val="21"/>
          <w:highlight w:val="none"/>
          <w:lang w:eastAsia="zh-CN"/>
        </w:rPr>
        <w:t>。</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估值目的</w:t>
      </w:r>
    </w:p>
    <w:p>
      <w:pPr>
        <w:ind w:left="709" w:firstLine="420" w:firstLineChars="200"/>
        <w:rPr>
          <w:rFonts w:ascii="仿宋" w:hAnsi="仿宋" w:eastAsia="仿宋"/>
          <w:szCs w:val="21"/>
          <w:highlight w:val="none"/>
        </w:rPr>
      </w:pPr>
      <w:r>
        <w:rPr>
          <w:rFonts w:hint="eastAsia" w:ascii="仿宋" w:hAnsi="仿宋" w:eastAsia="仿宋"/>
          <w:szCs w:val="21"/>
          <w:highlight w:val="none"/>
        </w:rPr>
        <w:t>本净值型理财产品资产估值的目的是为了及时反映本净值型理财产品资产的价值状况，并为本净值型理财产品每月提供披露信息。</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估值对象</w:t>
      </w:r>
    </w:p>
    <w:p>
      <w:pPr>
        <w:ind w:left="709" w:firstLine="420" w:firstLineChars="200"/>
        <w:rPr>
          <w:rFonts w:ascii="仿宋" w:hAnsi="仿宋" w:eastAsia="仿宋"/>
          <w:szCs w:val="21"/>
          <w:highlight w:val="none"/>
        </w:rPr>
      </w:pPr>
      <w:r>
        <w:rPr>
          <w:rFonts w:hint="eastAsia" w:ascii="仿宋" w:hAnsi="仿宋" w:eastAsia="仿宋"/>
          <w:szCs w:val="21"/>
          <w:highlight w:val="none"/>
        </w:rPr>
        <w:t>本产品所拥有的各类证券和银行存款本息、应收款项、其它投资等资产及负债。</w:t>
      </w:r>
    </w:p>
    <w:p>
      <w:pPr>
        <w:pStyle w:val="11"/>
        <w:numPr>
          <w:ilvl w:val="0"/>
          <w:numId w:val="8"/>
        </w:numPr>
        <w:ind w:firstLineChars="0"/>
        <w:rPr>
          <w:rFonts w:hint="eastAsia" w:ascii="仿宋" w:hAnsi="仿宋" w:eastAsia="仿宋"/>
          <w:szCs w:val="21"/>
          <w:highlight w:val="none"/>
        </w:rPr>
      </w:pPr>
      <w:r>
        <w:rPr>
          <w:rFonts w:hint="eastAsia" w:ascii="仿宋" w:hAnsi="仿宋" w:eastAsia="仿宋"/>
          <w:szCs w:val="21"/>
          <w:highlight w:val="none"/>
        </w:rPr>
        <w:t>估值方法</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1）根据监管规定，可以使用摊余成本法估值的债券类资产使用摊余成本法估值；根据监管规定，应使用市值法估值的债券类资产，按照市值法估值；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2）存放同业、回购、拆借等同业资产按照账面成本加上最近一次付息日至估值日止的应计利息估值；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3）银行存款以本金列示，逐日计提利息；</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4）货币基金以最新可获取的万份收益进行估值；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5）其他资产的估值方法:在监管许可的范围内，可以使用成本法估值的资产，按取得时的成本用成本法进行估值；根据监管规定，应使用市值法估值的资产，按照市值法估值；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6）国家有最新规定的按其规定进行估值。</w:t>
      </w:r>
    </w:p>
    <w:p>
      <w:pPr>
        <w:pStyle w:val="11"/>
        <w:numPr>
          <w:ilvl w:val="0"/>
          <w:numId w:val="8"/>
        </w:numPr>
        <w:ind w:firstLineChars="0"/>
        <w:rPr>
          <w:rFonts w:hint="eastAsia" w:ascii="仿宋" w:hAnsi="仿宋" w:eastAsia="仿宋"/>
          <w:szCs w:val="21"/>
          <w:highlight w:val="none"/>
        </w:rPr>
      </w:pPr>
      <w:r>
        <w:rPr>
          <w:rFonts w:hint="eastAsia" w:ascii="仿宋" w:hAnsi="仿宋" w:eastAsia="仿宋"/>
          <w:szCs w:val="21"/>
          <w:highlight w:val="none"/>
          <w:lang w:val="en-US" w:eastAsia="zh-CN"/>
        </w:rPr>
        <w:t>当理财产品管理人或托管人认为按上述方法对理财产品进行估值不能客观反映其公允价值的，可以在协商一致后变更估值方法，并自协商一致日后执行。相关法律法规</w:t>
      </w:r>
      <w:r>
        <w:rPr>
          <w:rFonts w:hint="eastAsia" w:ascii="仿宋" w:hAnsi="仿宋" w:eastAsia="仿宋"/>
          <w:szCs w:val="21"/>
          <w:highlight w:val="none"/>
        </w:rPr>
        <w:t>以及监管部门有强制规定的，从其规定。如有新增事项，按国家最新规定估值。</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理财产品的净值</w:t>
      </w:r>
    </w:p>
    <w:p>
      <w:pPr>
        <w:ind w:left="840" w:hanging="840" w:hangingChars="400"/>
        <w:rPr>
          <w:rFonts w:ascii="仿宋" w:hAnsi="仿宋" w:eastAsia="仿宋"/>
          <w:szCs w:val="21"/>
          <w:highlight w:val="none"/>
        </w:rPr>
      </w:pPr>
      <w:r>
        <w:rPr>
          <w:rFonts w:hint="eastAsia" w:ascii="仿宋" w:hAnsi="仿宋" w:eastAsia="仿宋"/>
          <w:szCs w:val="21"/>
          <w:highlight w:val="none"/>
        </w:rPr>
        <w:t xml:space="preserve">            本理财产品每个工作日为产品的估值日，河北银行在估值日扣除理财产品承担的各项费用（包括投资管理费、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）后，计算理财产品单位份额净值，与托管人进行核对后，通过“信息公告”约定的方式向投资者披露理财产品单位份额净值。</w:t>
      </w:r>
    </w:p>
    <w:p>
      <w:pPr>
        <w:ind w:left="840" w:leftChars="400" w:firstLine="420" w:firstLineChars="200"/>
        <w:rPr>
          <w:rFonts w:ascii="仿宋" w:hAnsi="仿宋" w:eastAsia="仿宋"/>
          <w:szCs w:val="21"/>
          <w:highlight w:val="none"/>
        </w:rPr>
      </w:pPr>
      <w:r>
        <w:rPr>
          <w:rFonts w:hint="eastAsia" w:ascii="仿宋" w:hAnsi="仿宋" w:eastAsia="仿宋"/>
          <w:szCs w:val="21"/>
          <w:highlight w:val="none"/>
        </w:rPr>
        <w:t>A日单位份额净值=</w:t>
      </w:r>
      <w:r>
        <w:rPr>
          <w:highlight w:val="none"/>
        </w:rPr>
        <w:t xml:space="preserve"> </w:t>
      </w:r>
      <w:r>
        <w:rPr>
          <w:rFonts w:ascii="仿宋" w:hAnsi="仿宋" w:eastAsia="仿宋"/>
          <w:szCs w:val="21"/>
          <w:highlight w:val="none"/>
        </w:rPr>
        <w:t>[</w:t>
      </w:r>
      <w:r>
        <w:rPr>
          <w:rFonts w:hint="eastAsia" w:ascii="仿宋" w:hAnsi="仿宋" w:eastAsia="仿宋"/>
          <w:szCs w:val="21"/>
          <w:highlight w:val="none"/>
        </w:rPr>
        <w:t>A日理财产品总财产－理财产品应承担的费用（包括投资管理费、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w:t>
      </w:r>
      <w:r>
        <w:rPr>
          <w:rFonts w:ascii="仿宋" w:hAnsi="仿宋" w:eastAsia="仿宋"/>
          <w:szCs w:val="21"/>
          <w:highlight w:val="none"/>
        </w:rPr>
        <w:t>]</w:t>
      </w:r>
      <w:r>
        <w:rPr>
          <w:rFonts w:hint="eastAsia" w:ascii="仿宋" w:hAnsi="仿宋" w:eastAsia="仿宋"/>
          <w:szCs w:val="21"/>
          <w:highlight w:val="none"/>
        </w:rPr>
        <w:t>÷A日份额总量。单位净值按照四舍五入保留至小数点后</w:t>
      </w:r>
      <w:r>
        <w:rPr>
          <w:rFonts w:hint="eastAsia" w:ascii="仿宋" w:hAnsi="仿宋" w:eastAsia="仿宋"/>
          <w:szCs w:val="21"/>
          <w:highlight w:val="none"/>
          <w:lang w:eastAsia="zh-CN"/>
        </w:rPr>
        <w:t>八</w:t>
      </w:r>
      <w:r>
        <w:rPr>
          <w:rFonts w:hint="eastAsia" w:ascii="仿宋" w:hAnsi="仿宋" w:eastAsia="仿宋"/>
          <w:szCs w:val="21"/>
          <w:highlight w:val="none"/>
        </w:rPr>
        <w:t>位。</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六、理财产品相关费用</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投资管理费</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管理人对本理财产品收取投资管理费，</w:t>
      </w:r>
      <w:r>
        <w:rPr>
          <w:rFonts w:hint="eastAsia" w:ascii="仿宋" w:hAnsi="仿宋" w:eastAsia="仿宋" w:cs="仿宋"/>
          <w:color w:val="auto"/>
          <w:kern w:val="0"/>
          <w:szCs w:val="21"/>
          <w:highlight w:val="none"/>
        </w:rPr>
        <w:t>投资管理费率</w:t>
      </w:r>
      <w:r>
        <w:rPr>
          <w:rFonts w:hint="eastAsia" w:ascii="仿宋" w:hAnsi="仿宋" w:eastAsia="仿宋" w:cs="仿宋"/>
          <w:color w:val="auto"/>
          <w:kern w:val="0"/>
          <w:szCs w:val="21"/>
          <w:highlight w:val="none"/>
          <w:lang w:eastAsia="zh-CN"/>
        </w:rPr>
        <w:t>为</w:t>
      </w:r>
      <w:r>
        <w:rPr>
          <w:rFonts w:hint="eastAsia" w:ascii="仿宋" w:hAnsi="仿宋" w:eastAsia="仿宋" w:cs="仿宋"/>
          <w:color w:val="auto"/>
          <w:kern w:val="0"/>
          <w:szCs w:val="21"/>
          <w:highlight w:val="none"/>
        </w:rPr>
        <w:t>0.</w:t>
      </w:r>
      <w:r>
        <w:rPr>
          <w:rFonts w:hint="eastAsia" w:ascii="仿宋" w:hAnsi="仿宋" w:eastAsia="仿宋" w:cs="仿宋"/>
          <w:color w:val="auto"/>
          <w:kern w:val="0"/>
          <w:szCs w:val="21"/>
          <w:highlight w:val="none"/>
          <w:lang w:val="en-US" w:eastAsia="zh-CN"/>
        </w:rPr>
        <w:t>30</w:t>
      </w:r>
      <w:r>
        <w:rPr>
          <w:rFonts w:hint="eastAsia" w:ascii="仿宋" w:hAnsi="仿宋" w:eastAsia="仿宋" w:cs="仿宋"/>
          <w:color w:val="auto"/>
          <w:kern w:val="0"/>
          <w:szCs w:val="21"/>
          <w:highlight w:val="none"/>
        </w:rPr>
        <w:t>%/年。每日计提，定期支付给理财产品管理人</w:t>
      </w:r>
      <w:r>
        <w:rPr>
          <w:rFonts w:hint="eastAsia" w:ascii="仿宋" w:hAnsi="仿宋" w:eastAsia="仿宋" w:cs="仿宋"/>
          <w:color w:val="auto"/>
          <w:kern w:val="0"/>
          <w:szCs w:val="21"/>
          <w:highlight w:val="none"/>
          <w:lang w:eastAsia="zh-CN"/>
        </w:rPr>
        <w:t>。投资管理费精确到小数点后</w:t>
      </w:r>
      <w:r>
        <w:rPr>
          <w:rFonts w:hint="eastAsia" w:ascii="仿宋" w:hAnsi="仿宋" w:eastAsia="仿宋" w:cs="仿宋"/>
          <w:color w:val="auto"/>
          <w:kern w:val="0"/>
          <w:szCs w:val="21"/>
          <w:highlight w:val="none"/>
          <w:lang w:val="en-US" w:eastAsia="zh-CN"/>
        </w:rPr>
        <w:t>2位，小数点2位以后四舍五入。</w:t>
      </w:r>
      <w:r>
        <w:rPr>
          <w:rFonts w:hint="eastAsia" w:ascii="仿宋" w:hAnsi="仿宋" w:eastAsia="仿宋" w:cs="仿宋"/>
          <w:color w:val="auto"/>
          <w:kern w:val="0"/>
          <w:szCs w:val="21"/>
          <w:highlight w:val="none"/>
          <w:lang w:eastAsia="zh-CN"/>
        </w:rPr>
        <w:t>计算公式如下：</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每日计提的投资管理费</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lang w:eastAsia="zh-CN"/>
        </w:rPr>
        <w:t>上一日理财产品总净值×投资管理费率</w:t>
      </w:r>
      <w:r>
        <w:rPr>
          <w:rFonts w:hint="eastAsia" w:ascii="仿宋" w:hAnsi="仿宋" w:eastAsia="仿宋"/>
          <w:color w:val="auto"/>
          <w:szCs w:val="21"/>
          <w:highlight w:val="none"/>
        </w:rPr>
        <w:t>÷</w:t>
      </w:r>
      <w:r>
        <w:rPr>
          <w:rFonts w:hint="eastAsia" w:ascii="仿宋" w:hAnsi="仿宋" w:eastAsia="仿宋" w:cs="仿宋"/>
          <w:color w:val="auto"/>
          <w:kern w:val="0"/>
          <w:szCs w:val="21"/>
          <w:highlight w:val="none"/>
          <w:lang w:eastAsia="zh-CN"/>
        </w:rPr>
        <w:t>365。</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托管费</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托管人对本理财产品收取托管费，托管</w:t>
      </w:r>
      <w:r>
        <w:rPr>
          <w:rFonts w:hint="eastAsia" w:ascii="仿宋" w:hAnsi="仿宋" w:eastAsia="仿宋" w:cs="仿宋"/>
          <w:color w:val="auto"/>
          <w:kern w:val="0"/>
          <w:szCs w:val="21"/>
          <w:highlight w:val="none"/>
        </w:rPr>
        <w:t>费率</w:t>
      </w:r>
      <w:r>
        <w:rPr>
          <w:rFonts w:hint="eastAsia" w:ascii="仿宋" w:hAnsi="仿宋" w:eastAsia="仿宋" w:cs="仿宋"/>
          <w:color w:val="auto"/>
          <w:kern w:val="0"/>
          <w:szCs w:val="21"/>
          <w:highlight w:val="none"/>
          <w:lang w:eastAsia="zh-CN"/>
        </w:rPr>
        <w:t>为</w:t>
      </w:r>
      <w:r>
        <w:rPr>
          <w:rFonts w:hint="eastAsia" w:ascii="仿宋" w:hAnsi="仿宋" w:eastAsia="仿宋" w:cs="仿宋"/>
          <w:color w:val="auto"/>
          <w:kern w:val="0"/>
          <w:szCs w:val="21"/>
          <w:highlight w:val="none"/>
          <w:lang w:val="en-US" w:eastAsia="zh-CN"/>
        </w:rPr>
        <w:t>0.01</w:t>
      </w:r>
      <w:r>
        <w:rPr>
          <w:rFonts w:hint="eastAsia" w:ascii="仿宋" w:hAnsi="仿宋" w:eastAsia="仿宋" w:cs="仿宋"/>
          <w:color w:val="auto"/>
          <w:kern w:val="0"/>
          <w:szCs w:val="21"/>
          <w:highlight w:val="none"/>
        </w:rPr>
        <w:t>%/年。每日计提，定期支付给理财产品</w:t>
      </w:r>
      <w:r>
        <w:rPr>
          <w:rFonts w:hint="eastAsia" w:ascii="仿宋" w:hAnsi="仿宋" w:eastAsia="仿宋" w:cs="仿宋"/>
          <w:color w:val="auto"/>
          <w:kern w:val="0"/>
          <w:szCs w:val="21"/>
          <w:highlight w:val="none"/>
          <w:lang w:eastAsia="zh-CN"/>
        </w:rPr>
        <w:t>托管</w:t>
      </w:r>
      <w:r>
        <w:rPr>
          <w:rFonts w:hint="eastAsia" w:ascii="仿宋" w:hAnsi="仿宋" w:eastAsia="仿宋" w:cs="仿宋"/>
          <w:color w:val="auto"/>
          <w:kern w:val="0"/>
          <w:szCs w:val="21"/>
          <w:highlight w:val="none"/>
        </w:rPr>
        <w:t>人</w:t>
      </w:r>
      <w:r>
        <w:rPr>
          <w:rFonts w:hint="eastAsia" w:ascii="仿宋" w:hAnsi="仿宋" w:eastAsia="仿宋" w:cs="仿宋"/>
          <w:color w:val="auto"/>
          <w:kern w:val="0"/>
          <w:szCs w:val="21"/>
          <w:highlight w:val="none"/>
          <w:lang w:eastAsia="zh-CN"/>
        </w:rPr>
        <w:t>。投资管理费精确到小数点后</w:t>
      </w:r>
      <w:r>
        <w:rPr>
          <w:rFonts w:hint="eastAsia" w:ascii="仿宋" w:hAnsi="仿宋" w:eastAsia="仿宋" w:cs="仿宋"/>
          <w:color w:val="auto"/>
          <w:kern w:val="0"/>
          <w:szCs w:val="21"/>
          <w:highlight w:val="none"/>
          <w:lang w:val="en-US" w:eastAsia="zh-CN"/>
        </w:rPr>
        <w:t>2位，小数点2位以后四舍五入。</w:t>
      </w:r>
      <w:r>
        <w:rPr>
          <w:rFonts w:hint="eastAsia" w:ascii="仿宋" w:hAnsi="仿宋" w:eastAsia="仿宋" w:cs="仿宋"/>
          <w:color w:val="auto"/>
          <w:kern w:val="0"/>
          <w:szCs w:val="21"/>
          <w:highlight w:val="none"/>
          <w:lang w:eastAsia="zh-CN"/>
        </w:rPr>
        <w:t>计算公式如下：</w:t>
      </w:r>
    </w:p>
    <w:p>
      <w:pPr>
        <w:spacing w:line="360" w:lineRule="atLeast"/>
        <w:ind w:left="709" w:firstLine="420" w:firstLineChars="200"/>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eastAsia="zh-CN"/>
        </w:rPr>
        <w:t>每日计提的托管费</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lang w:eastAsia="zh-CN"/>
        </w:rPr>
        <w:t>上一日理财产品总净值×托管费率</w:t>
      </w:r>
      <w:r>
        <w:rPr>
          <w:rFonts w:hint="eastAsia" w:ascii="仿宋" w:hAnsi="仿宋" w:eastAsia="仿宋"/>
          <w:color w:val="auto"/>
          <w:szCs w:val="21"/>
          <w:highlight w:val="none"/>
        </w:rPr>
        <w:t>÷</w:t>
      </w:r>
      <w:r>
        <w:rPr>
          <w:rFonts w:hint="eastAsia" w:ascii="仿宋" w:hAnsi="仿宋" w:eastAsia="仿宋" w:cs="仿宋"/>
          <w:color w:val="auto"/>
          <w:kern w:val="0"/>
          <w:szCs w:val="21"/>
          <w:highlight w:val="none"/>
          <w:lang w:eastAsia="zh-CN"/>
        </w:rPr>
        <w:t>365。</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超额业绩报酬</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val="en-US" w:eastAsia="zh-CN"/>
        </w:rPr>
      </w:pPr>
      <w:r>
        <w:rPr>
          <w:rFonts w:hint="eastAsia" w:ascii="仿宋" w:hAnsi="仿宋" w:eastAsia="仿宋" w:cs="仿宋"/>
          <w:color w:val="auto"/>
          <w:kern w:val="0"/>
          <w:szCs w:val="21"/>
          <w:highlight w:val="none"/>
        </w:rPr>
        <w:t>管理人对本理财产品收取超额业绩报酬</w:t>
      </w:r>
      <w:r>
        <w:rPr>
          <w:rFonts w:hint="eastAsia" w:ascii="仿宋" w:hAnsi="仿宋" w:eastAsia="仿宋" w:cs="仿宋"/>
          <w:color w:val="auto"/>
          <w:kern w:val="0"/>
          <w:szCs w:val="21"/>
          <w:highlight w:val="none"/>
          <w:lang w:eastAsia="zh-CN"/>
        </w:rPr>
        <w:t>，产品确认日或终止日收取，</w:t>
      </w:r>
      <w:r>
        <w:rPr>
          <w:rFonts w:hint="eastAsia" w:ascii="仿宋" w:hAnsi="仿宋" w:eastAsia="仿宋" w:cs="仿宋"/>
          <w:color w:val="auto"/>
          <w:kern w:val="0"/>
          <w:szCs w:val="21"/>
          <w:highlight w:val="none"/>
        </w:rPr>
        <w:t>产品持有收益率低于</w:t>
      </w:r>
      <w:r>
        <w:rPr>
          <w:rFonts w:hint="eastAsia" w:ascii="仿宋" w:hAnsi="仿宋" w:eastAsia="仿宋" w:cs="仿宋"/>
          <w:color w:val="auto"/>
          <w:kern w:val="0"/>
          <w:szCs w:val="21"/>
          <w:highlight w:val="none"/>
          <w:lang w:val="en-US" w:eastAsia="zh-CN"/>
        </w:rPr>
        <w:t>2.40%</w:t>
      </w:r>
      <w:r>
        <w:rPr>
          <w:rFonts w:hint="eastAsia" w:ascii="仿宋" w:hAnsi="仿宋" w:eastAsia="仿宋" w:cs="仿宋"/>
          <w:color w:val="auto"/>
          <w:kern w:val="0"/>
          <w:szCs w:val="21"/>
          <w:highlight w:val="none"/>
        </w:rPr>
        <w:t>（含）时，管理人不收取超额业绩报酬。持有收益率超出</w:t>
      </w:r>
      <w:r>
        <w:rPr>
          <w:rFonts w:hint="eastAsia" w:ascii="仿宋" w:hAnsi="仿宋" w:eastAsia="仿宋" w:cs="仿宋"/>
          <w:color w:val="auto"/>
          <w:kern w:val="0"/>
          <w:szCs w:val="21"/>
          <w:highlight w:val="none"/>
          <w:lang w:val="en-US" w:eastAsia="zh-CN"/>
        </w:rPr>
        <w:t>2.40%</w:t>
      </w:r>
      <w:r>
        <w:rPr>
          <w:rFonts w:hint="eastAsia" w:ascii="仿宋" w:hAnsi="仿宋" w:eastAsia="仿宋" w:cs="仿宋"/>
          <w:color w:val="auto"/>
          <w:kern w:val="0"/>
          <w:szCs w:val="21"/>
          <w:highlight w:val="none"/>
        </w:rPr>
        <w:t>的部分，管理人收取</w:t>
      </w:r>
      <w:r>
        <w:rPr>
          <w:rFonts w:hint="eastAsia" w:ascii="仿宋" w:hAnsi="仿宋" w:eastAsia="仿宋" w:cs="仿宋"/>
          <w:color w:val="auto"/>
          <w:kern w:val="0"/>
          <w:szCs w:val="21"/>
          <w:highlight w:val="none"/>
          <w:lang w:eastAsia="zh-CN"/>
        </w:rPr>
        <w:t>90%</w:t>
      </w:r>
      <w:r>
        <w:rPr>
          <w:rFonts w:hint="eastAsia" w:ascii="仿宋" w:hAnsi="仿宋" w:eastAsia="仿宋" w:cs="仿宋"/>
          <w:color w:val="auto"/>
          <w:kern w:val="0"/>
          <w:szCs w:val="21"/>
          <w:highlight w:val="none"/>
        </w:rPr>
        <w:t>作为超额业绩报酬。超额业绩报酬</w:t>
      </w:r>
      <w:r>
        <w:rPr>
          <w:rFonts w:hint="eastAsia" w:ascii="仿宋" w:hAnsi="仿宋" w:eastAsia="仿宋" w:cs="仿宋"/>
          <w:color w:val="auto"/>
          <w:kern w:val="0"/>
          <w:szCs w:val="21"/>
          <w:highlight w:val="none"/>
          <w:lang w:eastAsia="zh-CN"/>
        </w:rPr>
        <w:t>精确到小数点后</w:t>
      </w:r>
      <w:r>
        <w:rPr>
          <w:rFonts w:hint="eastAsia" w:ascii="仿宋" w:hAnsi="仿宋" w:eastAsia="仿宋" w:cs="仿宋"/>
          <w:color w:val="auto"/>
          <w:kern w:val="0"/>
          <w:szCs w:val="21"/>
          <w:highlight w:val="none"/>
          <w:lang w:val="en-US" w:eastAsia="zh-CN"/>
        </w:rPr>
        <w:t>2位，小数点2位以后四舍五入。</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超额业绩报酬计算方法为：</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1）持有收益率≤业绩比较基准时，超额业绩报酬=0。</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rPr>
        <w:t>2）持有收益率</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rPr>
        <w:t>业绩比较基准时，超额业绩报酬=产品当日份额×[年化持有收益率-业绩比较基准]×</w:t>
      </w:r>
      <w:r>
        <w:rPr>
          <w:rFonts w:hint="eastAsia" w:ascii="仿宋" w:hAnsi="仿宋" w:eastAsia="仿宋" w:cs="仿宋"/>
          <w:color w:val="auto"/>
          <w:kern w:val="0"/>
          <w:szCs w:val="21"/>
          <w:highlight w:val="none"/>
          <w:lang w:val="en-US" w:eastAsia="zh-CN"/>
        </w:rPr>
        <w:t>90%</w:t>
      </w:r>
      <w:r>
        <w:rPr>
          <w:rFonts w:hint="eastAsia" w:ascii="仿宋" w:hAnsi="仿宋" w:eastAsia="仿宋" w:cs="仿宋"/>
          <w:color w:val="auto"/>
          <w:kern w:val="0"/>
          <w:szCs w:val="21"/>
          <w:highlight w:val="none"/>
        </w:rPr>
        <w:t>×持有天数÷365。</w:t>
      </w:r>
    </w:p>
    <w:p>
      <w:pPr>
        <w:pStyle w:val="11"/>
        <w:numPr>
          <w:ilvl w:val="0"/>
          <w:numId w:val="9"/>
        </w:numPr>
        <w:spacing w:line="360" w:lineRule="atLeast"/>
        <w:ind w:firstLineChars="0"/>
        <w:rPr>
          <w:rFonts w:hint="eastAsia" w:ascii="仿宋" w:hAnsi="仿宋" w:eastAsia="仿宋" w:cs="仿宋"/>
          <w:szCs w:val="21"/>
          <w:highlight w:val="none"/>
        </w:rPr>
      </w:pPr>
      <w:r>
        <w:rPr>
          <w:rFonts w:hint="eastAsia" w:ascii="仿宋" w:hAnsi="仿宋" w:eastAsia="仿宋" w:cs="仿宋"/>
          <w:szCs w:val="21"/>
          <w:highlight w:val="none"/>
        </w:rPr>
        <w:t>税费</w:t>
      </w:r>
    </w:p>
    <w:p>
      <w:pPr>
        <w:spacing w:line="360" w:lineRule="atLeast"/>
        <w:ind w:left="709" w:firstLine="420" w:firstLineChars="200"/>
        <w:rPr>
          <w:rFonts w:hint="eastAsia" w:ascii="仿宋" w:hAnsi="仿宋" w:eastAsia="仿宋" w:cs="仿宋"/>
          <w:szCs w:val="21"/>
          <w:highlight w:val="none"/>
        </w:rPr>
      </w:pPr>
      <w:r>
        <w:rPr>
          <w:rFonts w:hint="eastAsia" w:ascii="仿宋" w:hAnsi="仿宋" w:eastAsia="仿宋" w:cs="仿宋"/>
          <w:szCs w:val="21"/>
          <w:highlight w:val="none"/>
        </w:rPr>
        <w:t>根据财政部、国家税务总局相关税收监管政策的规定，理财产品运营过程中发生的增值税应税行为，河北银行作为理财产品投资管理人,将按照相关规定计算应缴纳的税费，并从理财产品财产中支付。</w:t>
      </w:r>
    </w:p>
    <w:p>
      <w:pPr>
        <w:pStyle w:val="11"/>
        <w:numPr>
          <w:ilvl w:val="0"/>
          <w:numId w:val="9"/>
        </w:numPr>
        <w:spacing w:line="360" w:lineRule="atLeast"/>
        <w:ind w:firstLineChars="0"/>
        <w:rPr>
          <w:rFonts w:hint="eastAsia" w:ascii="仿宋" w:hAnsi="仿宋" w:eastAsia="仿宋" w:cs="仿宋"/>
          <w:szCs w:val="21"/>
          <w:highlight w:val="none"/>
        </w:rPr>
      </w:pPr>
      <w:r>
        <w:rPr>
          <w:rFonts w:hint="eastAsia" w:ascii="仿宋" w:hAnsi="仿宋" w:eastAsia="仿宋" w:cs="仿宋"/>
          <w:szCs w:val="21"/>
          <w:highlight w:val="none"/>
        </w:rPr>
        <w:t>其他相关费用</w:t>
      </w:r>
    </w:p>
    <w:p>
      <w:pPr>
        <w:spacing w:beforeLines="0" w:afterLines="0"/>
        <w:ind w:left="840" w:hanging="840" w:hangingChars="400"/>
        <w:jc w:val="left"/>
        <w:rPr>
          <w:rFonts w:hint="eastAsia" w:ascii="仿宋" w:hAnsi="仿宋" w:eastAsia="仿宋" w:cs="仿宋"/>
          <w:szCs w:val="21"/>
          <w:highlight w:val="none"/>
          <w:lang w:val="en-US" w:eastAsia="zh-CN"/>
        </w:rPr>
      </w:pPr>
      <w:r>
        <w:rPr>
          <w:rFonts w:hint="eastAsia" w:ascii="仿宋" w:hAnsi="仿宋" w:eastAsia="仿宋" w:cs="仿宋"/>
          <w:szCs w:val="21"/>
          <w:highlight w:val="none"/>
          <w:lang w:val="en-US" w:eastAsia="zh-CN"/>
        </w:rPr>
        <w:t xml:space="preserve">           </w:t>
      </w:r>
      <w:r>
        <w:rPr>
          <w:rFonts w:hint="eastAsia" w:ascii="仿宋" w:hAnsi="仿宋" w:eastAsia="仿宋" w:cs="仿宋"/>
          <w:szCs w:val="21"/>
          <w:highlight w:val="none"/>
        </w:rPr>
        <w:t>理财</w:t>
      </w:r>
      <w:r>
        <w:rPr>
          <w:rFonts w:hint="eastAsia" w:ascii="仿宋" w:hAnsi="仿宋" w:eastAsia="仿宋" w:cs="仿宋"/>
          <w:szCs w:val="21"/>
          <w:highlight w:val="none"/>
          <w:lang w:eastAsia="zh-CN"/>
        </w:rPr>
        <w:t>产品</w:t>
      </w:r>
      <w:r>
        <w:rPr>
          <w:rFonts w:hint="eastAsia" w:ascii="仿宋" w:hAnsi="仿宋" w:eastAsia="仿宋" w:cs="仿宋"/>
          <w:szCs w:val="21"/>
          <w:highlight w:val="none"/>
        </w:rPr>
        <w:t>运作期间可能产生</w:t>
      </w:r>
      <w:r>
        <w:rPr>
          <w:rFonts w:hint="eastAsia" w:ascii="仿宋" w:hAnsi="仿宋" w:eastAsia="仿宋" w:cs="仿宋"/>
          <w:szCs w:val="21"/>
          <w:highlight w:val="none"/>
          <w:lang w:eastAsia="zh-CN"/>
        </w:rPr>
        <w:t>的</w:t>
      </w:r>
      <w:r>
        <w:rPr>
          <w:rFonts w:hint="eastAsia" w:ascii="仿宋" w:hAnsi="仿宋" w:eastAsia="仿宋" w:cs="仿宋"/>
          <w:szCs w:val="21"/>
          <w:highlight w:val="none"/>
        </w:rPr>
        <w:t>清算费用</w:t>
      </w:r>
      <w:r>
        <w:rPr>
          <w:rFonts w:hint="eastAsia" w:ascii="仿宋" w:hAnsi="仿宋" w:eastAsia="仿宋" w:cs="仿宋"/>
          <w:szCs w:val="21"/>
          <w:highlight w:val="none"/>
          <w:lang w:eastAsia="zh-CN"/>
        </w:rPr>
        <w:t>等</w:t>
      </w:r>
      <w:r>
        <w:rPr>
          <w:rFonts w:hint="eastAsia" w:ascii="仿宋" w:hAnsi="仿宋" w:eastAsia="仿宋" w:cs="仿宋"/>
          <w:szCs w:val="21"/>
          <w:highlight w:val="none"/>
        </w:rPr>
        <w:t>，按其实际发生数额从</w:t>
      </w:r>
      <w:r>
        <w:rPr>
          <w:rFonts w:hint="eastAsia" w:ascii="仿宋" w:hAnsi="仿宋" w:eastAsia="仿宋" w:cs="仿宋"/>
          <w:szCs w:val="21"/>
          <w:highlight w:val="none"/>
          <w:lang w:eastAsia="zh-CN"/>
        </w:rPr>
        <w:t>理</w:t>
      </w:r>
      <w:r>
        <w:rPr>
          <w:rFonts w:hint="eastAsia" w:ascii="仿宋" w:hAnsi="仿宋" w:eastAsia="仿宋" w:cs="仿宋"/>
          <w:szCs w:val="21"/>
          <w:highlight w:val="none"/>
        </w:rPr>
        <w:t>财资产中支取。</w:t>
      </w:r>
    </w:p>
    <w:p>
      <w:pPr>
        <w:spacing w:line="360" w:lineRule="atLeast"/>
        <w:ind w:left="709" w:firstLine="420" w:firstLineChars="200"/>
        <w:rPr>
          <w:rFonts w:hint="eastAsia" w:ascii="仿宋_GB2312" w:eastAsia="仿宋_GB2312"/>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七、客户收益与本金确定</w:t>
      </w:r>
    </w:p>
    <w:p>
      <w:pPr>
        <w:pStyle w:val="11"/>
        <w:numPr>
          <w:ilvl w:val="0"/>
          <w:numId w:val="10"/>
        </w:numPr>
        <w:spacing w:line="360" w:lineRule="atLeast"/>
        <w:ind w:firstLineChars="0"/>
        <w:rPr>
          <w:rFonts w:ascii="仿宋" w:hAnsi="仿宋" w:eastAsia="仿宋"/>
          <w:szCs w:val="21"/>
          <w:highlight w:val="none"/>
        </w:rPr>
      </w:pPr>
      <w:r>
        <w:rPr>
          <w:rFonts w:hint="eastAsia" w:ascii="仿宋" w:hAnsi="仿宋" w:eastAsia="仿宋"/>
          <w:szCs w:val="21"/>
          <w:highlight w:val="none"/>
        </w:rPr>
        <w:t>产品终止日根据当日产品单位份额净值确定兑付客户金额，单位份额净值按照四舍五入保留至小数点后</w:t>
      </w:r>
      <w:r>
        <w:rPr>
          <w:rFonts w:hint="eastAsia" w:ascii="仿宋" w:hAnsi="仿宋" w:eastAsia="仿宋"/>
          <w:szCs w:val="21"/>
          <w:highlight w:val="none"/>
          <w:lang w:eastAsia="zh-CN"/>
        </w:rPr>
        <w:t>八</w:t>
      </w:r>
      <w:r>
        <w:rPr>
          <w:rFonts w:hint="eastAsia" w:ascii="仿宋" w:hAnsi="仿宋" w:eastAsia="仿宋"/>
          <w:szCs w:val="21"/>
          <w:highlight w:val="none"/>
        </w:rPr>
        <w:t>位。</w:t>
      </w:r>
    </w:p>
    <w:p>
      <w:pPr>
        <w:pStyle w:val="11"/>
        <w:numPr>
          <w:ilvl w:val="0"/>
          <w:numId w:val="10"/>
        </w:numPr>
        <w:spacing w:line="360" w:lineRule="atLeast"/>
        <w:ind w:firstLineChars="0"/>
        <w:rPr>
          <w:rFonts w:hint="default" w:ascii="仿宋" w:hAnsi="仿宋" w:eastAsia="仿宋"/>
          <w:szCs w:val="21"/>
          <w:highlight w:val="none"/>
          <w:lang w:val="en-US" w:eastAsia="zh-CN"/>
        </w:rPr>
      </w:pPr>
      <w:r>
        <w:rPr>
          <w:rFonts w:hint="eastAsia" w:ascii="仿宋" w:hAnsi="仿宋" w:eastAsia="仿宋"/>
          <w:szCs w:val="21"/>
          <w:highlight w:val="none"/>
        </w:rPr>
        <w:t>理财产品到期收益的测算依据和测算方法：</w:t>
      </w:r>
    </w:p>
    <w:p>
      <w:pPr>
        <w:pStyle w:val="11"/>
        <w:numPr>
          <w:ilvl w:val="0"/>
          <w:numId w:val="0"/>
        </w:numPr>
        <w:spacing w:line="360" w:lineRule="atLeast"/>
        <w:ind w:left="709" w:leftChars="0" w:firstLine="420" w:firstLineChars="200"/>
        <w:rPr>
          <w:rFonts w:hint="default" w:ascii="仿宋" w:hAnsi="仿宋" w:eastAsia="仿宋"/>
          <w:szCs w:val="21"/>
          <w:highlight w:val="none"/>
          <w:lang w:val="en-US" w:eastAsia="zh-CN"/>
        </w:rPr>
      </w:pPr>
      <w:r>
        <w:rPr>
          <w:rFonts w:hint="eastAsia" w:ascii="仿宋" w:hAnsi="仿宋" w:eastAsia="仿宋"/>
          <w:szCs w:val="21"/>
          <w:highlight w:val="none"/>
        </w:rPr>
        <w:t>兑付金额＝到期日投资者持有产品份额×产品单位份额净值</w:t>
      </w:r>
      <w:r>
        <w:rPr>
          <w:rFonts w:hint="eastAsia" w:ascii="仿宋" w:hAnsi="仿宋" w:eastAsia="仿宋"/>
          <w:szCs w:val="21"/>
          <w:highlight w:val="none"/>
          <w:lang w:val="en-US" w:eastAsia="zh-CN"/>
        </w:rPr>
        <w:t>(超额收益分配后（如有）)。</w:t>
      </w:r>
    </w:p>
    <w:p>
      <w:pPr>
        <w:spacing w:line="360" w:lineRule="atLeast"/>
        <w:ind w:left="735" w:leftChars="350" w:firstLine="420" w:firstLineChars="200"/>
        <w:rPr>
          <w:rFonts w:hint="eastAsia" w:ascii="仿宋" w:hAnsi="仿宋" w:eastAsia="仿宋"/>
          <w:szCs w:val="21"/>
          <w:highlight w:val="none"/>
          <w:lang w:eastAsia="zh-CN"/>
        </w:rPr>
      </w:pPr>
      <w:r>
        <w:rPr>
          <w:rFonts w:hint="eastAsia" w:ascii="仿宋" w:hAnsi="仿宋" w:eastAsia="仿宋"/>
          <w:szCs w:val="21"/>
          <w:highlight w:val="none"/>
        </w:rPr>
        <w:t>示例：若该产品</w:t>
      </w:r>
      <w:r>
        <w:rPr>
          <w:rFonts w:hint="eastAsia" w:ascii="仿宋" w:hAnsi="仿宋" w:eastAsia="仿宋"/>
          <w:szCs w:val="21"/>
          <w:highlight w:val="none"/>
          <w:lang w:eastAsia="zh-CN"/>
        </w:rPr>
        <w:t>的业绩基准为</w:t>
      </w:r>
      <w:r>
        <w:rPr>
          <w:rFonts w:hint="eastAsia" w:ascii="仿宋" w:hAnsi="仿宋" w:eastAsia="仿宋"/>
          <w:szCs w:val="21"/>
          <w:highlight w:val="none"/>
          <w:lang w:val="en-US" w:eastAsia="zh-CN"/>
        </w:rPr>
        <w:t>2.40%，</w:t>
      </w:r>
      <w:r>
        <w:rPr>
          <w:rFonts w:hint="eastAsia" w:ascii="仿宋" w:hAnsi="仿宋" w:eastAsia="仿宋"/>
          <w:szCs w:val="21"/>
          <w:highlight w:val="none"/>
        </w:rPr>
        <w:t>投资者持有的产品份额为100万份，</w:t>
      </w:r>
      <w:r>
        <w:rPr>
          <w:rFonts w:hint="eastAsia" w:ascii="仿宋" w:hAnsi="仿宋" w:eastAsia="仿宋"/>
          <w:szCs w:val="21"/>
          <w:highlight w:val="none"/>
          <w:lang w:eastAsia="zh-CN"/>
        </w:rPr>
        <w:t>则</w:t>
      </w:r>
      <w:r>
        <w:rPr>
          <w:rFonts w:hint="eastAsia" w:ascii="仿宋" w:hAnsi="仿宋" w:eastAsia="仿宋"/>
          <w:szCs w:val="21"/>
          <w:highlight w:val="none"/>
        </w:rPr>
        <w:t>到期时</w:t>
      </w:r>
      <w:r>
        <w:rPr>
          <w:rFonts w:hint="eastAsia" w:ascii="仿宋" w:hAnsi="仿宋" w:eastAsia="仿宋"/>
          <w:szCs w:val="21"/>
          <w:highlight w:val="none"/>
          <w:lang w:eastAsia="zh-CN"/>
        </w:rPr>
        <w:t>：</w:t>
      </w:r>
    </w:p>
    <w:p>
      <w:pPr>
        <w:numPr>
          <w:ilvl w:val="0"/>
          <w:numId w:val="11"/>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w:t>
      </w:r>
      <w:r>
        <w:rPr>
          <w:rFonts w:hint="eastAsia" w:ascii="仿宋" w:hAnsi="仿宋" w:eastAsia="仿宋"/>
          <w:szCs w:val="21"/>
          <w:highlight w:val="none"/>
          <w:lang w:val="en-US" w:eastAsia="zh-CN"/>
        </w:rPr>
        <w:t>3800000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w:t>
      </w:r>
      <w:r>
        <w:rPr>
          <w:rFonts w:hint="eastAsia" w:ascii="仿宋" w:hAnsi="仿宋" w:eastAsia="仿宋"/>
          <w:szCs w:val="21"/>
          <w:highlight w:val="none"/>
          <w:lang w:val="en-US" w:eastAsia="zh-CN"/>
        </w:rPr>
        <w:t>3800000</w:t>
      </w:r>
      <w:r>
        <w:rPr>
          <w:rFonts w:hint="eastAsia" w:ascii="仿宋" w:hAnsi="仿宋" w:eastAsia="仿宋"/>
          <w:szCs w:val="21"/>
          <w:highlight w:val="none"/>
        </w:rPr>
        <w:t>-1.00</w:t>
      </w:r>
      <w:r>
        <w:rPr>
          <w:rFonts w:hint="eastAsia" w:ascii="仿宋" w:hAnsi="仿宋" w:eastAsia="仿宋"/>
          <w:szCs w:val="21"/>
          <w:highlight w:val="none"/>
          <w:lang w:val="en-US" w:eastAsia="zh-CN"/>
        </w:rPr>
        <w:t>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=3.80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lang w:val="en-US" w:eastAsia="zh-CN"/>
        </w:rPr>
        <w:t>3800000=1,038</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numPr>
          <w:ilvl w:val="0"/>
          <w:numId w:val="11"/>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到期日产品单位份额净值为1.04</w:t>
      </w:r>
      <w:r>
        <w:rPr>
          <w:rFonts w:hint="eastAsia" w:ascii="仿宋" w:hAnsi="仿宋" w:eastAsia="仿宋"/>
          <w:szCs w:val="21"/>
          <w:highlight w:val="none"/>
          <w:lang w:val="en-US" w:eastAsia="zh-CN"/>
        </w:rPr>
        <w:t>200000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天，则投资者获得的实际年化收益率=（1.04</w:t>
      </w:r>
      <w:r>
        <w:rPr>
          <w:rFonts w:hint="eastAsia" w:ascii="仿宋" w:hAnsi="仿宋" w:eastAsia="仿宋"/>
          <w:szCs w:val="21"/>
          <w:highlight w:val="none"/>
          <w:lang w:val="en-US" w:eastAsia="zh-CN"/>
        </w:rPr>
        <w:t>200000</w:t>
      </w:r>
      <w:r>
        <w:rPr>
          <w:rFonts w:hint="eastAsia" w:ascii="仿宋" w:hAnsi="仿宋" w:eastAsia="仿宋"/>
          <w:szCs w:val="21"/>
          <w:highlight w:val="none"/>
        </w:rPr>
        <w:t>-1.00</w:t>
      </w:r>
      <w:r>
        <w:rPr>
          <w:rFonts w:hint="eastAsia" w:ascii="仿宋" w:hAnsi="仿宋" w:eastAsia="仿宋"/>
          <w:szCs w:val="21"/>
          <w:highlight w:val="none"/>
          <w:lang w:val="en-US" w:eastAsia="zh-CN"/>
        </w:rPr>
        <w:t>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w:t>
      </w:r>
      <w:r>
        <w:rPr>
          <w:rFonts w:hint="eastAsia" w:ascii="仿宋" w:hAnsi="仿宋" w:eastAsia="仿宋"/>
          <w:szCs w:val="21"/>
          <w:highlight w:val="none"/>
        </w:rPr>
        <w:t>4</w:t>
      </w:r>
      <w:r>
        <w:rPr>
          <w:rFonts w:hint="eastAsia" w:ascii="仿宋" w:hAnsi="仿宋" w:eastAsia="仿宋"/>
          <w:szCs w:val="21"/>
          <w:highlight w:val="none"/>
          <w:lang w:val="en-US" w:eastAsia="zh-CN"/>
        </w:rPr>
        <w:t>.20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rPr>
        <w:t>4</w:t>
      </w:r>
      <w:r>
        <w:rPr>
          <w:rFonts w:hint="eastAsia" w:ascii="仿宋" w:hAnsi="仿宋" w:eastAsia="仿宋"/>
          <w:szCs w:val="21"/>
          <w:highlight w:val="none"/>
          <w:lang w:val="en-US" w:eastAsia="zh-CN"/>
        </w:rPr>
        <w:t>200000=1,0</w:t>
      </w:r>
      <w:r>
        <w:rPr>
          <w:rFonts w:hint="eastAsia" w:ascii="仿宋" w:hAnsi="仿宋" w:eastAsia="仿宋"/>
          <w:szCs w:val="21"/>
          <w:highlight w:val="none"/>
        </w:rPr>
        <w:t>4</w:t>
      </w:r>
      <w:r>
        <w:rPr>
          <w:rFonts w:hint="eastAsia" w:ascii="仿宋" w:hAnsi="仿宋" w:eastAsia="仿宋"/>
          <w:szCs w:val="21"/>
          <w:highlight w:val="none"/>
          <w:lang w:val="en-US" w:eastAsia="zh-CN"/>
        </w:rPr>
        <w:t>2</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numPr>
          <w:ilvl w:val="0"/>
          <w:numId w:val="12"/>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到期日产品单位份额净值为1.04</w:t>
      </w:r>
      <w:r>
        <w:rPr>
          <w:rFonts w:hint="eastAsia" w:ascii="仿宋" w:hAnsi="仿宋" w:eastAsia="仿宋"/>
          <w:szCs w:val="21"/>
          <w:highlight w:val="none"/>
          <w:lang w:val="en-US" w:eastAsia="zh-CN"/>
        </w:rPr>
        <w:t>600000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天，则投资者获得的实际年化收益率=（1.04</w:t>
      </w:r>
      <w:r>
        <w:rPr>
          <w:rFonts w:hint="eastAsia" w:ascii="仿宋" w:hAnsi="仿宋" w:eastAsia="仿宋"/>
          <w:szCs w:val="21"/>
          <w:highlight w:val="none"/>
          <w:lang w:val="en-US" w:eastAsia="zh-CN"/>
        </w:rPr>
        <w:t>600000</w:t>
      </w:r>
      <w:r>
        <w:rPr>
          <w:rFonts w:hint="eastAsia" w:ascii="仿宋" w:hAnsi="仿宋" w:eastAsia="仿宋"/>
          <w:szCs w:val="21"/>
          <w:highlight w:val="none"/>
        </w:rPr>
        <w:t>-1.</w:t>
      </w:r>
      <w:r>
        <w:rPr>
          <w:rFonts w:hint="eastAsia" w:ascii="仿宋" w:hAnsi="仿宋" w:eastAsia="仿宋"/>
          <w:szCs w:val="21"/>
          <w:highlight w:val="none"/>
          <w:lang w:val="en-US" w:eastAsia="zh-CN"/>
        </w:rPr>
        <w:t>00000000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=4.60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rPr>
        <w:t>4</w:t>
      </w:r>
      <w:r>
        <w:rPr>
          <w:rFonts w:hint="eastAsia" w:ascii="仿宋" w:hAnsi="仿宋" w:eastAsia="仿宋"/>
          <w:szCs w:val="21"/>
          <w:highlight w:val="none"/>
          <w:lang w:val="en-US" w:eastAsia="zh-CN"/>
        </w:rPr>
        <w:t>600000=1,0</w:t>
      </w:r>
      <w:r>
        <w:rPr>
          <w:rFonts w:hint="eastAsia" w:ascii="仿宋" w:hAnsi="仿宋" w:eastAsia="仿宋"/>
          <w:szCs w:val="21"/>
          <w:highlight w:val="none"/>
        </w:rPr>
        <w:t>4</w:t>
      </w:r>
      <w:r>
        <w:rPr>
          <w:rFonts w:hint="eastAsia" w:ascii="仿宋" w:hAnsi="仿宋" w:eastAsia="仿宋"/>
          <w:szCs w:val="21"/>
          <w:highlight w:val="none"/>
          <w:lang w:val="en-US" w:eastAsia="zh-CN"/>
        </w:rPr>
        <w:t>6</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pStyle w:val="11"/>
        <w:numPr>
          <w:ilvl w:val="0"/>
          <w:numId w:val="10"/>
        </w:numPr>
        <w:spacing w:line="360" w:lineRule="atLeast"/>
        <w:ind w:left="1129" w:leftChars="0" w:hanging="420" w:firstLineChars="0"/>
        <w:rPr>
          <w:rFonts w:ascii="仿宋" w:hAnsi="仿宋" w:eastAsia="仿宋"/>
          <w:szCs w:val="21"/>
          <w:highlight w:val="none"/>
        </w:rPr>
      </w:pPr>
      <w:r>
        <w:rPr>
          <w:rFonts w:hint="eastAsia" w:ascii="仿宋" w:hAnsi="仿宋" w:eastAsia="仿宋"/>
          <w:szCs w:val="21"/>
          <w:highlight w:val="none"/>
        </w:rPr>
        <w:t>理财产品到期时，如理财产品项下资产全部变现，河北银行在理财产品到期日后5个工作日内将投资者应得资金划转至投资者指定账户。如理财产品项下资产不能全部变现，河北银行将现金类资产扣除应由理财产品承担的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费、其他理财产品相关费用等</w:t>
      </w:r>
      <w:r>
        <w:rPr>
          <w:rFonts w:hint="eastAsia" w:ascii="仿宋" w:hAnsi="仿宋" w:eastAsia="仿宋"/>
          <w:szCs w:val="21"/>
          <w:highlight w:val="none"/>
        </w:rPr>
        <w:t>）、税款（如有）后向投资者分配。对于未变现资产部分，河北银行以投资者利益最大化的原则，寻求未变现资产变现方式，在资产变现后，扣除应由理财产品承担的税费后向投资者分配。</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八、产品的提前终止与清算</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如判断国家金融政策、宏观经济形势、投资资产市场情况将发生重大变化时，河北银行有权但无义务提前终止本理财产品。</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河北银行若提前终止本理财产品，将提前3个工作日通过我行官方网站或其他信息渠道发布相关信息公告通知投资者，并在提前终止日后7个工作日内向投资者返还投资者应得资金。</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本理财产品的投资资产未能在前述期限内变现，河北银行可延长变现和收益分配期限，并在我行官方网站或其他信息渠道进行公告。</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本理财产品投资者无提前终止权。</w:t>
      </w:r>
    </w:p>
    <w:p>
      <w:pPr>
        <w:pStyle w:val="11"/>
        <w:spacing w:line="360" w:lineRule="atLeast"/>
        <w:jc w:val="center"/>
        <w:rPr>
          <w:rFonts w:hint="eastAsia" w:ascii="仿宋_GB2312" w:eastAsia="仿宋_GB2312"/>
          <w:b/>
          <w:szCs w:val="21"/>
          <w:highlight w:val="none"/>
        </w:rPr>
      </w:pPr>
    </w:p>
    <w:p>
      <w:pPr>
        <w:pStyle w:val="11"/>
        <w:spacing w:line="360" w:lineRule="atLeast"/>
        <w:jc w:val="center"/>
        <w:rPr>
          <w:rFonts w:ascii="仿宋_GB2312" w:eastAsia="仿宋_GB2312"/>
          <w:b/>
          <w:szCs w:val="21"/>
          <w:highlight w:val="none"/>
        </w:rPr>
      </w:pPr>
      <w:r>
        <w:rPr>
          <w:rFonts w:hint="eastAsia" w:ascii="仿宋_GB2312" w:eastAsia="仿宋_GB2312"/>
          <w:b/>
          <w:szCs w:val="21"/>
          <w:highlight w:val="none"/>
        </w:rPr>
        <w:t>九、信息公告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河北银行将于理财产品成立后5个工作日内，通过我行官方网站或其他渠道发布产品发行信息公告。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本理财产品存续期间内，河北银行将于每周在我行官方网站或其他渠道公布扣除各项费用（包括投资管理费、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）后的理财产品单位份额净值。</w:t>
      </w:r>
    </w:p>
    <w:p>
      <w:pPr>
        <w:pStyle w:val="11"/>
        <w:numPr>
          <w:ilvl w:val="0"/>
          <w:numId w:val="14"/>
        </w:numPr>
        <w:spacing w:line="360" w:lineRule="atLeast"/>
        <w:ind w:firstLineChars="0"/>
        <w:rPr>
          <w:rFonts w:hint="eastAsia" w:ascii="仿宋" w:hAnsi="仿宋" w:eastAsia="仿宋"/>
          <w:szCs w:val="21"/>
          <w:highlight w:val="none"/>
        </w:rPr>
      </w:pPr>
      <w:r>
        <w:rPr>
          <w:rFonts w:hint="eastAsia" w:ascii="仿宋" w:hAnsi="仿宋" w:eastAsia="仿宋"/>
          <w:szCs w:val="21"/>
          <w:highlight w:val="none"/>
        </w:rPr>
        <w:t>本理财产品存续期间内，河北银行将于每季度结束之日起15个工作日内</w:t>
      </w:r>
      <w:r>
        <w:rPr>
          <w:rFonts w:hint="eastAsia" w:ascii="仿宋" w:hAnsi="仿宋" w:eastAsia="仿宋"/>
          <w:szCs w:val="21"/>
          <w:highlight w:val="none"/>
          <w:lang w:eastAsia="zh-CN"/>
        </w:rPr>
        <w:t>、上半年结束之日起</w:t>
      </w:r>
      <w:r>
        <w:rPr>
          <w:rFonts w:hint="eastAsia" w:ascii="仿宋" w:hAnsi="仿宋" w:eastAsia="仿宋"/>
          <w:szCs w:val="21"/>
          <w:highlight w:val="none"/>
          <w:lang w:val="en-US" w:eastAsia="zh-CN"/>
        </w:rPr>
        <w:t>60个工作日内、每年结束之日起90个工作日内</w:t>
      </w:r>
      <w:r>
        <w:rPr>
          <w:rFonts w:hint="eastAsia" w:ascii="仿宋" w:hAnsi="仿宋" w:eastAsia="仿宋"/>
          <w:szCs w:val="21"/>
          <w:highlight w:val="none"/>
        </w:rPr>
        <w:t>，通过我行官方网站或其他渠道发布产品</w:t>
      </w:r>
      <w:r>
        <w:rPr>
          <w:rFonts w:hint="eastAsia" w:ascii="仿宋" w:hAnsi="仿宋" w:eastAsia="仿宋"/>
          <w:szCs w:val="21"/>
          <w:highlight w:val="none"/>
          <w:lang w:eastAsia="zh-CN"/>
        </w:rPr>
        <w:t>投资</w:t>
      </w:r>
      <w:r>
        <w:rPr>
          <w:rFonts w:hint="eastAsia" w:ascii="仿宋" w:hAnsi="仿宋" w:eastAsia="仿宋"/>
          <w:szCs w:val="21"/>
          <w:highlight w:val="none"/>
        </w:rPr>
        <w:t>运作情况报告。</w:t>
      </w:r>
      <w:r>
        <w:rPr>
          <w:rFonts w:hint="eastAsia" w:ascii="仿宋" w:hAnsi="仿宋" w:eastAsia="仿宋"/>
          <w:szCs w:val="21"/>
          <w:highlight w:val="none"/>
          <w:lang w:eastAsia="zh-CN"/>
        </w:rPr>
        <w:t>若本季度末产品成立不足</w:t>
      </w:r>
      <w:r>
        <w:rPr>
          <w:rFonts w:hint="eastAsia" w:ascii="仿宋" w:hAnsi="仿宋" w:eastAsia="仿宋"/>
          <w:szCs w:val="21"/>
          <w:highlight w:val="none"/>
          <w:lang w:val="en-US" w:eastAsia="zh-CN"/>
        </w:rPr>
        <w:t>91日则下季度末披露其投资运作情况报告。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本理财产品存续期间，如发生可能对理财产品投资者或理财产品收益产生重大影响的事件，河北银行将于重大事件发生后2个工作日内，通过我行官方网站或其他渠道发布产品重大事项公告。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河北银行将在理财产品到期日后的5个工作日内，通过我行官方网站或其他渠道发布产品到期信息公告。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河北银行若提前终止本理财产品，将提前3个工作日通过我行官方网站或其他渠道发布相关信息公告通知投资者。</w:t>
      </w:r>
    </w:p>
    <w:p>
      <w:pPr>
        <w:pStyle w:val="11"/>
        <w:numPr>
          <w:ilvl w:val="0"/>
          <w:numId w:val="14"/>
        </w:numPr>
        <w:spacing w:line="360" w:lineRule="atLeast"/>
        <w:ind w:firstLineChars="0"/>
        <w:rPr>
          <w:rFonts w:hint="eastAsia" w:ascii="仿宋" w:hAnsi="仿宋" w:eastAsia="仿宋"/>
          <w:szCs w:val="21"/>
          <w:highlight w:val="none"/>
        </w:rPr>
      </w:pPr>
      <w:r>
        <w:rPr>
          <w:rFonts w:hint="eastAsia" w:ascii="仿宋" w:hAnsi="仿宋" w:eastAsia="仿宋"/>
          <w:szCs w:val="21"/>
          <w:highlight w:val="none"/>
        </w:rPr>
        <w:t>在本理财产品存续期内，如因国家法律法规、监管规定发生变化，或是出于维持本理财产品正常运营的需要，在不损害投资者利益的前提下，河北银行有权单方对本理财产品说明书进行修订。河北银行决定对产品说明书进行修订的，将提前2个工作日通过我行官方网站或其他渠道发布临时性信息公告通知投资者。修订后的产品说明书对投资者具有法律约束力。</w:t>
      </w:r>
    </w:p>
    <w:p>
      <w:pPr>
        <w:numPr>
          <w:ilvl w:val="0"/>
          <w:numId w:val="14"/>
        </w:numPr>
        <w:spacing w:line="360" w:lineRule="atLeast"/>
        <w:ind w:left="1129" w:leftChars="0" w:hanging="420" w:firstLineChars="0"/>
        <w:rPr>
          <w:rFonts w:hint="eastAsia" w:ascii="仿宋" w:hAnsi="仿宋" w:eastAsia="仿宋"/>
          <w:szCs w:val="21"/>
          <w:highlight w:val="none"/>
        </w:rPr>
      </w:pPr>
      <w:r>
        <w:rPr>
          <w:rFonts w:hint="eastAsia" w:ascii="仿宋" w:hAnsi="仿宋" w:eastAsia="仿宋"/>
          <w:szCs w:val="21"/>
          <w:highlight w:val="none"/>
        </w:rPr>
        <w:t>在本理财产品存续期内，</w:t>
      </w:r>
      <w:r>
        <w:rPr>
          <w:rFonts w:hint="eastAsia" w:ascii="仿宋" w:hAnsi="仿宋" w:eastAsia="仿宋"/>
          <w:szCs w:val="21"/>
          <w:highlight w:val="none"/>
          <w:lang w:eastAsia="zh-CN"/>
        </w:rPr>
        <w:t>河北银行每月向投资者提供本产品的理财产品账单，投资者可以通过手机银行、营业网点等渠道进行查询。</w:t>
      </w:r>
    </w:p>
    <w:p>
      <w:pPr>
        <w:pStyle w:val="11"/>
        <w:numPr>
          <w:ilvl w:val="0"/>
          <w:numId w:val="14"/>
        </w:numPr>
        <w:spacing w:line="360" w:lineRule="atLeast"/>
        <w:ind w:firstLineChars="0"/>
        <w:rPr>
          <w:rFonts w:hint="eastAsia" w:ascii="仿宋" w:hAnsi="仿宋" w:eastAsia="仿宋"/>
          <w:szCs w:val="21"/>
          <w:highlight w:val="none"/>
          <w:lang w:eastAsia="zh-CN"/>
        </w:rPr>
      </w:pPr>
      <w:r>
        <w:rPr>
          <w:rFonts w:hint="eastAsia" w:ascii="仿宋" w:hAnsi="仿宋" w:eastAsia="仿宋"/>
          <w:szCs w:val="21"/>
          <w:highlight w:val="none"/>
        </w:rPr>
        <w:t>银行向投资者发送的信息与公告，敬请及时查看。如果投资者因未及时查看银行公布、发送的相关信息，或由于不可抗力、通讯故障、系统故障以及其他非银行过错原因导致投资者无法及时了解本净值型理财产品信息，因此产生的损失和风险由投资者自行承担</w:t>
      </w:r>
      <w:r>
        <w:rPr>
          <w:rFonts w:hint="eastAsia" w:ascii="仿宋" w:hAnsi="仿宋" w:eastAsia="仿宋"/>
          <w:szCs w:val="21"/>
          <w:highlight w:val="none"/>
          <w:lang w:eastAsia="zh-CN"/>
        </w:rPr>
        <w:t>。</w:t>
      </w:r>
    </w:p>
    <w:p>
      <w:pPr>
        <w:spacing w:line="360" w:lineRule="atLeast"/>
        <w:ind w:left="709" w:firstLine="420" w:firstLineChars="200"/>
        <w:rPr>
          <w:rFonts w:hint="eastAsia" w:ascii="仿宋" w:hAnsi="仿宋" w:eastAsia="仿宋"/>
          <w:szCs w:val="21"/>
          <w:highlight w:val="none"/>
          <w:lang w:eastAsia="zh-CN"/>
        </w:rPr>
      </w:pPr>
      <w:r>
        <w:rPr>
          <w:rFonts w:hint="eastAsia" w:ascii="仿宋" w:hAnsi="仿宋" w:eastAsia="仿宋"/>
          <w:szCs w:val="21"/>
          <w:highlight w:val="none"/>
        </w:rPr>
        <w:t>本产品投资者已阅读并领取“河北银行净值型理财产品说明书”，充分了解本产品的收益和风险，自愿购买。投资者同意对于河北银行通过官方网站或其他渠道公布的信息将及时浏览和阅读，并视为投资者已获取该信息。河北银行或将通过产品协议书中的联系方式告知投资者产品重要事项。若联系方式变更，本产品投资者须主动告知银行。如投资者未将联系方式变更及时告知河北银行，则河北银行不承担由此产生的后果</w:t>
      </w:r>
      <w:r>
        <w:rPr>
          <w:rFonts w:hint="eastAsia" w:ascii="仿宋" w:hAnsi="仿宋" w:eastAsia="仿宋"/>
          <w:szCs w:val="21"/>
          <w:highlight w:val="none"/>
          <w:lang w:eastAsia="zh-CN"/>
        </w:rPr>
        <w:t>。</w:t>
      </w:r>
    </w:p>
    <w:p>
      <w:pPr>
        <w:spacing w:line="360" w:lineRule="atLeast"/>
        <w:ind w:left="735" w:leftChars="350" w:firstLine="420" w:firstLineChars="200"/>
        <w:rPr>
          <w:rFonts w:ascii="仿宋" w:hAnsi="仿宋" w:eastAsia="仿宋"/>
          <w:szCs w:val="21"/>
          <w:highlight w:val="none"/>
        </w:rPr>
      </w:pPr>
      <w:r>
        <w:rPr>
          <w:rFonts w:hint="eastAsia" w:ascii="仿宋" w:hAnsi="仿宋" w:eastAsia="仿宋"/>
          <w:szCs w:val="21"/>
          <w:highlight w:val="none"/>
        </w:rPr>
        <w:t>河北银行有权利及义务向中国人民银行、中国银保监会、全国银行业理财信息登记中心等监管机构报送其理财业务信息，包括投资者基本信息、投资理财产品的交易及持有信息</w:t>
      </w:r>
      <w:r>
        <w:rPr>
          <w:rFonts w:hint="eastAsia" w:ascii="仿宋" w:hAnsi="仿宋" w:eastAsia="仿宋"/>
          <w:szCs w:val="21"/>
          <w:highlight w:val="none"/>
          <w:lang w:eastAsia="zh-CN"/>
        </w:rPr>
        <w:t>等监管机构要求报送的其他信息</w:t>
      </w:r>
      <w:r>
        <w:rPr>
          <w:rFonts w:hint="eastAsia" w:ascii="仿宋" w:hAnsi="仿宋" w:eastAsia="仿宋"/>
          <w:szCs w:val="21"/>
          <w:highlight w:val="none"/>
        </w:rPr>
        <w:t>。</w:t>
      </w: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pStyle w:val="12"/>
        <w:keepNext w:val="0"/>
        <w:keepLines w:val="0"/>
        <w:widowControl/>
        <w:suppressLineNumbers w:val="0"/>
        <w:snapToGrid w:val="0"/>
        <w:spacing w:after="240" w:afterAutospacing="0"/>
        <w:jc w:val="center"/>
        <w:rPr>
          <w:rFonts w:hint="default" w:ascii="Times New Roman" w:hAnsi="Times New Roman" w:eastAsia="宋体" w:cs="Times New Roman"/>
          <w:kern w:val="0"/>
          <w:sz w:val="24"/>
          <w:szCs w:val="24"/>
          <w:highlight w:val="none"/>
        </w:rPr>
      </w:pPr>
      <w:r>
        <w:rPr>
          <w:rFonts w:hint="eastAsia" w:ascii="仿宋_GB2312" w:hAnsi="Times New Roman" w:eastAsia="仿宋_GB2312" w:cs="仿宋_GB2312"/>
          <w:b/>
          <w:kern w:val="0"/>
          <w:sz w:val="32"/>
          <w:szCs w:val="32"/>
          <w:highlight w:val="none"/>
        </w:rPr>
        <w:t>河北银行理财产品风险揭示书</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尊敬的投资者：</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由于理财资金管理运用过程中，可能会面临多种风险因素，在您选择购买本理财产品前，请仔细阅读以下重要内容：</w:t>
      </w:r>
    </w:p>
    <w:p>
      <w:pPr>
        <w:pStyle w:val="12"/>
        <w:keepNext w:val="0"/>
        <w:keepLines w:val="0"/>
        <w:widowControl/>
        <w:suppressLineNumbers w:val="0"/>
        <w:snapToGrid w:val="0"/>
        <w:spacing w:before="240" w:beforeAutospacing="0" w:after="240" w:afterAutospacing="0" w:line="400" w:lineRule="atLeast"/>
        <w:ind w:left="0" w:firstLine="422"/>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kern w:val="0"/>
          <w:sz w:val="21"/>
          <w:szCs w:val="21"/>
          <w:highlight w:val="none"/>
        </w:rPr>
        <w:t>理财非存款，产品有风险，投资须谨慎。请您仔细阅读理财产品销售文件，了解理财产品具体情况。</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您所购买的理财产品实际收益水平将取决于理财资金的实际运作情况，投资者应充分认识以下风险，谨慎投资：</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1、本金及理财收益风险：</w:t>
      </w:r>
      <w:r>
        <w:rPr>
          <w:rFonts w:hint="eastAsia" w:ascii="仿宋_GB2312" w:hAnsi="Times New Roman" w:eastAsia="仿宋_GB2312" w:cs="仿宋_GB2312"/>
          <w:kern w:val="0"/>
          <w:sz w:val="21"/>
          <w:szCs w:val="21"/>
          <w:highlight w:val="none"/>
        </w:rPr>
        <w:t>本理财产品不保障本金及理财收益。您的本金可能会因市场变动而蒙受重大损失，您应充分认识投资风险，谨慎投资。本理财产品收益来源于资产组合出让、处分或持有到期的收入。如资产组合无法正常处置的，则由此产生的本金及理财收益（如有，下同）损失的风险由投资者自行承担；如资产组合内的债券资产存在违约风险、市场风险和流动性风险，由此产生的理财本金及收益损失的风险由投资者自行承担，在发生债券资产违约等最不利情况下投资者将可能损失全部本金。</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2、管理人风险：</w:t>
      </w:r>
      <w:r>
        <w:rPr>
          <w:rFonts w:hint="eastAsia" w:ascii="仿宋_GB2312" w:hAnsi="Times New Roman" w:eastAsia="仿宋_GB2312" w:cs="仿宋_GB2312"/>
          <w:kern w:val="0"/>
          <w:sz w:val="21"/>
          <w:szCs w:val="21"/>
          <w:highlight w:val="none"/>
        </w:rPr>
        <w:t>由于管理人受经验、技能等因素的限制，会影响本理财产品项下投资的回报率。</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3、政策风险：</w:t>
      </w:r>
      <w:r>
        <w:rPr>
          <w:rFonts w:hint="eastAsia" w:ascii="仿宋_GB2312" w:hAnsi="Times New Roman" w:eastAsia="仿宋_GB2312" w:cs="仿宋_GB2312"/>
          <w:kern w:val="0"/>
          <w:sz w:val="21"/>
          <w:szCs w:val="21"/>
          <w:highlight w:val="none"/>
        </w:rPr>
        <w:t>本理财产品是针对当前的相关法规和政策设计的。如国家宏观政策以及市场相关法规政策发生变化，可能影响理财产品的受理、投资、偿还等的正常进行，导致本理财产品收益降低甚至本金损失。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4、市场风险：</w:t>
      </w:r>
      <w:r>
        <w:rPr>
          <w:rFonts w:hint="eastAsia" w:ascii="仿宋_GB2312" w:hAnsi="Times New Roman" w:eastAsia="仿宋_GB2312" w:cs="仿宋_GB2312"/>
          <w:kern w:val="0"/>
          <w:sz w:val="21"/>
          <w:szCs w:val="21"/>
          <w:highlight w:val="none"/>
        </w:rPr>
        <w:t>本产品在实际运作过程中，由于市场的变化会造成本产品投资的资产价格发生波动，可能导致本理财产品收益降低甚至本金损失。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5、信用风险：</w:t>
      </w:r>
      <w:r>
        <w:rPr>
          <w:rFonts w:hint="eastAsia" w:ascii="仿宋_GB2312" w:hAnsi="Times New Roman" w:eastAsia="仿宋_GB2312" w:cs="仿宋_GB2312"/>
          <w:kern w:val="0"/>
          <w:sz w:val="21"/>
          <w:szCs w:val="21"/>
          <w:highlight w:val="none"/>
        </w:rPr>
        <w:t>如果本理财产品配置资产所涉及的相关债务主体到期未能履行付息、还款义务，或者本理财产品配置资产因为面临重大的损失而被止损，可能导致该理财产品的收益降低甚至本金损失。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eastAsia" w:ascii="仿宋_GB2312" w:hAnsi="Times New Roman" w:eastAsia="仿宋_GB2312" w:cs="仿宋_GB2312"/>
          <w:kern w:val="0"/>
          <w:sz w:val="21"/>
          <w:szCs w:val="21"/>
          <w:highlight w:val="none"/>
        </w:rPr>
      </w:pPr>
      <w:r>
        <w:rPr>
          <w:rFonts w:hint="eastAsia" w:ascii="仿宋_GB2312" w:hAnsi="Times New Roman" w:eastAsia="仿宋_GB2312" w:cs="仿宋_GB2312"/>
          <w:b/>
          <w:bCs/>
          <w:kern w:val="0"/>
          <w:sz w:val="21"/>
          <w:szCs w:val="21"/>
          <w:highlight w:val="none"/>
        </w:rPr>
        <w:t>6、流动性风险：</w:t>
      </w:r>
      <w:r>
        <w:rPr>
          <w:rFonts w:hint="eastAsia" w:ascii="仿宋_GB2312" w:hAnsi="Times New Roman" w:eastAsia="仿宋_GB2312" w:cs="仿宋_GB2312"/>
          <w:kern w:val="0"/>
          <w:sz w:val="21"/>
          <w:szCs w:val="21"/>
          <w:highlight w:val="none"/>
        </w:rPr>
        <w:t>封闭式理财产品存续期内，购买者不享有赎回权利，如果客户持有期间对产品有流动性需求，面临流动性风险。开放式理财产品存续期内，如果投资者在产品发生（连续）巨额赎回时，可能面临流动性风险。</w:t>
      </w:r>
    </w:p>
    <w:p>
      <w:pPr>
        <w:pStyle w:val="12"/>
        <w:keepNext w:val="0"/>
        <w:keepLines w:val="0"/>
        <w:widowControl/>
        <w:suppressLineNumbers w:val="0"/>
        <w:snapToGrid w:val="0"/>
        <w:spacing w:before="240" w:beforeAutospacing="0" w:after="240" w:afterAutospacing="0" w:line="400" w:lineRule="atLeast"/>
        <w:ind w:left="0" w:firstLine="420"/>
        <w:rPr>
          <w:rFonts w:hint="eastAsia" w:ascii="仿宋" w:hAnsi="仿宋" w:eastAsia="仿宋"/>
          <w:b/>
          <w:bCs/>
          <w:szCs w:val="21"/>
          <w:highlight w:val="none"/>
          <w:lang w:val="en-US" w:eastAsia="zh-CN"/>
        </w:rPr>
      </w:pPr>
      <w:r>
        <w:rPr>
          <w:rFonts w:hint="eastAsia" w:ascii="仿宋_GB2312" w:hAnsi="仿宋_GB2312" w:eastAsia="仿宋_GB2312" w:cs="仿宋_GB2312"/>
          <w:b/>
          <w:bCs/>
          <w:kern w:val="2"/>
          <w:sz w:val="21"/>
          <w:szCs w:val="21"/>
          <w:highlight w:val="none"/>
          <w:lang w:val="en-US" w:eastAsia="zh-CN" w:bidi="ar-SA"/>
        </w:rPr>
        <w:t>7、特定投资标的风险：</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1）货币市场工具投资风险（如有）</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A 本理财产品作为资金借出方参与货币市场工具交易时，交易对手可能无法及时偿还全部或部分本金和/或收益，导致理财产品收益下降甚至本金损失;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B 本理财产品作为资金借入方参与货币市场工具交易时，交易利率可能大于债券投资收益，进而导致理财产品收益下降甚至本金损失；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C 本理财产品作为资金借入方参与货币市场工具交易，将增大产品投资总量，放大投资组合风险。资金借入比例越高，风险暴露程度越高，理财产品收益下降甚至本金损失的可能性越大。</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2）</w:t>
      </w:r>
      <w:r>
        <w:rPr>
          <w:rFonts w:hint="eastAsia" w:ascii="仿宋" w:hAnsi="仿宋" w:eastAsia="仿宋"/>
          <w:szCs w:val="21"/>
          <w:highlight w:val="none"/>
        </w:rPr>
        <w:t>债券投资风险（如有）</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A 市场风险。市场利率水平会影响本产品所投资的债券价格，如利率水平上升将导致本产品投资的债券价格下跌，进而导致理财产品收益下降甚至本金损失。即使债券市场平均利率水平保持稳定，不同期限、不同风险等级、不同种类债券之间的利差变动，也可能导致本产品投资的债券的市场价格下跌，进而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B 信用风险。债券的发行人和/或担保人可能由于经济周期、行业竞争、市场前景、管理能力、盈利模式、财务状况等变化发生经营不善，甚至可能发生资不抵债、破产清算、被兼并收购等状况，可能导致债券的市场价格下跌甚至无法按时偿付本息，从而导致理财产品收益下降甚至 本金损失。资产支持证券项下的基础资产如发生原始权益人破产或基础资产项下现金流未能及时完整取得等情况，资产支持证券的收益将受到影响，可能导致理财产品收益下降甚至本金损失。</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3）</w:t>
      </w:r>
      <w:r>
        <w:rPr>
          <w:rFonts w:hint="eastAsia" w:ascii="仿宋" w:hAnsi="仿宋" w:eastAsia="仿宋"/>
          <w:szCs w:val="21"/>
          <w:highlight w:val="none"/>
        </w:rPr>
        <w:t>非标准化债权类资产投资风险（如有）</w:t>
      </w:r>
    </w:p>
    <w:p>
      <w:pPr>
        <w:numPr>
          <w:ilvl w:val="0"/>
          <w:numId w:val="0"/>
        </w:numPr>
        <w:ind w:leftChars="200" w:firstLine="420" w:firstLineChars="200"/>
        <w:rPr>
          <w:rFonts w:hint="eastAsia" w:ascii="仿宋" w:hAnsi="仿宋" w:eastAsia="仿宋"/>
          <w:szCs w:val="21"/>
          <w:highlight w:val="none"/>
          <w:lang w:eastAsia="zh-CN"/>
        </w:rPr>
      </w:pPr>
      <w:r>
        <w:rPr>
          <w:rFonts w:hint="eastAsia" w:ascii="仿宋" w:hAnsi="仿宋" w:eastAsia="仿宋"/>
          <w:szCs w:val="21"/>
          <w:highlight w:val="none"/>
          <w:lang w:val="en-US" w:eastAsia="zh-CN"/>
        </w:rPr>
        <w:t xml:space="preserve">A </w:t>
      </w:r>
      <w:r>
        <w:rPr>
          <w:rFonts w:hint="eastAsia" w:ascii="仿宋" w:hAnsi="仿宋" w:eastAsia="仿宋"/>
          <w:szCs w:val="21"/>
          <w:highlight w:val="none"/>
        </w:rPr>
        <w:t>资产选择风险。在非标准化债权类资产选择及投资时，受制于产品管理人及合作机构(如有)的管理能力，可能因标的资产选择失败而直接影响标的资产投资收益甚至发生投资失败的风险，从而导致本理财产品的投资收益和/或本金发生损失</w:t>
      </w:r>
      <w:r>
        <w:rPr>
          <w:rFonts w:hint="eastAsia" w:ascii="仿宋" w:hAnsi="仿宋" w:eastAsia="仿宋"/>
          <w:szCs w:val="21"/>
          <w:highlight w:val="none"/>
          <w:lang w:val="en-US" w:eastAsia="zh-CN"/>
        </w:rPr>
        <w:t>;</w:t>
      </w:r>
    </w:p>
    <w:p>
      <w:pPr>
        <w:numPr>
          <w:ilvl w:val="0"/>
          <w:numId w:val="0"/>
        </w:numPr>
        <w:ind w:leftChars="200" w:firstLine="420" w:firstLineChars="200"/>
        <w:rPr>
          <w:rFonts w:hint="eastAsia" w:ascii="仿宋" w:hAnsi="仿宋" w:eastAsia="仿宋"/>
          <w:szCs w:val="21"/>
          <w:highlight w:val="none"/>
          <w:lang w:eastAsia="zh-CN"/>
        </w:rPr>
      </w:pPr>
      <w:r>
        <w:rPr>
          <w:rFonts w:hint="eastAsia" w:ascii="仿宋" w:hAnsi="仿宋" w:eastAsia="仿宋"/>
          <w:szCs w:val="21"/>
          <w:highlight w:val="none"/>
          <w:lang w:val="en-US" w:eastAsia="zh-CN"/>
        </w:rPr>
        <w:t xml:space="preserve">B </w:t>
      </w:r>
      <w:r>
        <w:rPr>
          <w:rFonts w:hint="eastAsia" w:ascii="仿宋" w:hAnsi="仿宋" w:eastAsia="仿宋"/>
          <w:szCs w:val="21"/>
          <w:highlight w:val="none"/>
        </w:rPr>
        <w:t>融资方/担保方经营风险。本理财产品投资的非标准化债权类资产的融资方和/或担保方可能由于经济周期、行业竞争、市场前景、管理能力、盈利模式、财务状况等变化发生经营不善，甚至可能发生资不抵债、破产清算、被兼并收购等状况，从而无法及时偿还全部或部分本金和/或收益</w:t>
      </w:r>
      <w:r>
        <w:rPr>
          <w:rFonts w:hint="eastAsia" w:ascii="仿宋" w:hAnsi="仿宋" w:eastAsia="仿宋"/>
          <w:szCs w:val="21"/>
          <w:highlight w:val="none"/>
          <w:lang w:val="en-US" w:eastAsia="zh-CN"/>
        </w:rPr>
        <w:t>;</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 xml:space="preserve">C </w:t>
      </w:r>
      <w:r>
        <w:rPr>
          <w:rFonts w:hint="eastAsia" w:ascii="仿宋" w:hAnsi="仿宋" w:eastAsia="仿宋"/>
          <w:szCs w:val="21"/>
          <w:highlight w:val="none"/>
        </w:rPr>
        <w:t>投资无法退出的风险。本理财产品主要通过持有至到期、阶段性持有或转让等方式实现非标准化债权类资产投资退出，但可能因政策原因、市场原因及其他原因无法实现投资退出，从而导致本理财产品收益下降甚至本金损失。</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 w:hAnsi="仿宋" w:eastAsia="仿宋"/>
          <w:szCs w:val="21"/>
          <w:highlight w:val="none"/>
          <w:lang w:val="en-US" w:eastAsia="zh-CN"/>
        </w:rPr>
        <w:t>4）</w:t>
      </w:r>
      <w:r>
        <w:rPr>
          <w:rFonts w:hint="eastAsia" w:ascii="仿宋" w:hAnsi="仿宋" w:eastAsia="仿宋"/>
          <w:szCs w:val="21"/>
          <w:highlight w:val="none"/>
        </w:rPr>
        <w:t>投资于资管计划或基金的份额时，可能面临的资产管理人/基金管理人风险（如有）</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eastAsia="仿宋_GB2312" w:cs="仿宋_GB2312"/>
          <w:kern w:val="0"/>
          <w:sz w:val="21"/>
          <w:szCs w:val="21"/>
          <w:highlight w:val="none"/>
          <w:lang w:val="en-US" w:eastAsia="zh-CN"/>
        </w:rPr>
        <w:t xml:space="preserve">A </w:t>
      </w:r>
      <w:r>
        <w:rPr>
          <w:rFonts w:hint="eastAsia" w:ascii="仿宋_GB2312" w:hAnsi="Times New Roman" w:eastAsia="仿宋_GB2312" w:cs="仿宋_GB2312"/>
          <w:kern w:val="0"/>
          <w:sz w:val="21"/>
          <w:szCs w:val="21"/>
          <w:highlight w:val="none"/>
          <w:lang w:val="en-US" w:eastAsia="zh-CN"/>
        </w:rPr>
        <w:t>如本理财产品投资于基金管理公司（含其子公司）/证券公司（含其子公司）、基金管理人等机构作为资产管理人管理的资产管理产品时，可能因资产/基金管理人违法违规、未尽管理人职责或发生其他情形，造成本理财产品所投资的资管计划/基金产品的财产损失，进而引起本理财产品的损失。资管计划/基金产品可能出现因为某种原因而被提前终止的情况，由此可能会造成对本理财产品投资收益的影响。</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eastAsia="仿宋_GB2312" w:cs="仿宋_GB2312"/>
          <w:kern w:val="0"/>
          <w:sz w:val="21"/>
          <w:szCs w:val="21"/>
          <w:highlight w:val="none"/>
          <w:lang w:val="en-US" w:eastAsia="zh-CN"/>
        </w:rPr>
        <w:t xml:space="preserve">B </w:t>
      </w:r>
      <w:r>
        <w:rPr>
          <w:rFonts w:hint="eastAsia" w:ascii="仿宋_GB2312" w:hAnsi="Times New Roman" w:eastAsia="仿宋_GB2312" w:cs="仿宋_GB2312"/>
          <w:kern w:val="0"/>
          <w:sz w:val="21"/>
          <w:szCs w:val="21"/>
          <w:highlight w:val="none"/>
          <w:lang w:val="en-US" w:eastAsia="zh-CN"/>
        </w:rPr>
        <w:t>因本理财产品的管理人无法对所投资的资管计划/基金产品进行投资决策，或相关资产管理人/基金管理人可能不执行或不能及时、准确地执行本理财产品管理人的指令，或未经本理财产品同意将本理财产品交付的资金运用于违反相关资产管理合同或基金合同约定的投资范围，导致本产品项下委托财产的损失等风险。</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 w:hAnsi="仿宋" w:eastAsia="仿宋"/>
          <w:szCs w:val="21"/>
          <w:highlight w:val="none"/>
          <w:lang w:val="en-US" w:eastAsia="zh-CN"/>
        </w:rPr>
        <w:t>5）</w:t>
      </w:r>
      <w:r>
        <w:rPr>
          <w:rFonts w:hint="eastAsia" w:ascii="仿宋" w:hAnsi="仿宋" w:eastAsia="仿宋"/>
          <w:szCs w:val="21"/>
          <w:highlight w:val="none"/>
        </w:rPr>
        <w:t>权益类资产投资风险（如有）</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hAnsi="Times New Roman" w:eastAsia="仿宋_GB2312" w:cs="仿宋_GB2312"/>
          <w:kern w:val="0"/>
          <w:sz w:val="21"/>
          <w:szCs w:val="21"/>
          <w:highlight w:val="none"/>
          <w:lang w:val="en-US" w:eastAsia="zh-CN"/>
        </w:rPr>
        <w:t>本理财产品可投资于上市公司股票等权益类资产，具有对股票市场的系统性风险，不能完全规避市场下跌的风险，在市场大幅上涨时也不能保证投资组合中权益类资产部分的业绩表现能够完全跟随或超越市场上涨幅度。此外，如果本产品投资的上市公司盈利下降，其股票价格可能会下跌，或能够用于分配的利润减少，导致理财产品收益下降甚至本金损失。即使本产品可通过分散投资管理非系统风险，也无法完全规避。</w:t>
      </w:r>
    </w:p>
    <w:p>
      <w:pPr>
        <w:numPr>
          <w:ilvl w:val="0"/>
          <w:numId w:val="0"/>
        </w:numPr>
        <w:ind w:leftChars="200"/>
        <w:rPr>
          <w:rFonts w:hint="eastAsia" w:ascii="仿宋_GB2312" w:hAnsi="Times New Roman" w:eastAsia="仿宋_GB2312" w:cs="仿宋_GB2312"/>
          <w:kern w:val="0"/>
          <w:sz w:val="21"/>
          <w:szCs w:val="21"/>
          <w:highlight w:val="none"/>
          <w:lang w:val="en-US" w:eastAsia="zh-CN"/>
        </w:rPr>
      </w:pP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hAnsi="Times New Roman" w:eastAsia="仿宋_GB2312" w:cs="仿宋_GB2312"/>
          <w:kern w:val="0"/>
          <w:sz w:val="21"/>
          <w:szCs w:val="21"/>
          <w:highlight w:val="none"/>
          <w:lang w:val="en-US" w:eastAsia="zh-CN"/>
        </w:rPr>
        <w:t>以上风险仅为列举性质，未能详尽列明拟投资市场和资产面临的全部风险和可能导致投资者投资本金及收益损失的所有因素。</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8</w:t>
      </w:r>
      <w:r>
        <w:rPr>
          <w:rFonts w:hint="eastAsia" w:ascii="仿宋_GB2312" w:hAnsi="Times New Roman" w:eastAsia="仿宋_GB2312" w:cs="仿宋_GB2312"/>
          <w:b/>
          <w:bCs/>
          <w:kern w:val="0"/>
          <w:sz w:val="21"/>
          <w:szCs w:val="21"/>
          <w:highlight w:val="none"/>
        </w:rPr>
        <w:t>、信息传递风险：</w:t>
      </w:r>
      <w:r>
        <w:rPr>
          <w:rFonts w:hint="eastAsia" w:ascii="仿宋_GB2312" w:hAnsi="Times New Roman" w:eastAsia="仿宋_GB2312" w:cs="仿宋_GB2312"/>
          <w:kern w:val="0"/>
          <w:sz w:val="21"/>
          <w:szCs w:val="21"/>
          <w:highlight w:val="none"/>
        </w:rPr>
        <w:t>本理财产品存续期内，河北银行将按照本理财产品产品说明书的约定进行相关信息披露。投资者应及时按照产品说明书中约定的方式查询产品信息。如果投资者未及时查询，或由于通讯故障、系统故障或不可抗力等因素的影响使得投资者无法及时了解产品信息，因此而产生的责任和风险由投资者自行承担。另外，投资者预留在河北银行的有效联系方式变更的，应及时通知河北银行。如投资者未及时告知河北银行联系方式变更的，河北银行将可能在需要联系投资者时无法及时联系上，并可能会由此影响投资者的投资决策，由此而产生的责任和风险由投资者自行承担。</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仿宋_GB2312" w:cs="Times New Roman"/>
          <w:kern w:val="0"/>
          <w:sz w:val="21"/>
          <w:szCs w:val="21"/>
          <w:highlight w:val="none"/>
          <w:lang w:val="en-US" w:eastAsia="zh-CN"/>
        </w:rPr>
      </w:pPr>
      <w:r>
        <w:rPr>
          <w:rFonts w:hint="eastAsia" w:ascii="仿宋_GB2312" w:hAnsi="Times New Roman" w:eastAsia="仿宋_GB2312" w:cs="仿宋_GB2312"/>
          <w:b/>
          <w:bCs/>
          <w:kern w:val="0"/>
          <w:sz w:val="21"/>
          <w:szCs w:val="21"/>
          <w:highlight w:val="none"/>
          <w:lang w:val="en-US" w:eastAsia="zh-CN"/>
        </w:rPr>
        <w:t>9</w:t>
      </w:r>
      <w:r>
        <w:rPr>
          <w:rFonts w:hint="eastAsia" w:ascii="仿宋_GB2312" w:hAnsi="Times New Roman" w:eastAsia="仿宋_GB2312" w:cs="仿宋_GB2312"/>
          <w:b/>
          <w:bCs/>
          <w:kern w:val="0"/>
          <w:sz w:val="21"/>
          <w:szCs w:val="21"/>
          <w:highlight w:val="none"/>
        </w:rPr>
        <w:t>、理财产品不成立风险：</w:t>
      </w:r>
      <w:r>
        <w:rPr>
          <w:rFonts w:hint="eastAsia" w:ascii="仿宋_GB2312" w:hAnsi="Times New Roman" w:eastAsia="仿宋_GB2312" w:cs="仿宋_GB2312"/>
          <w:kern w:val="0"/>
          <w:sz w:val="21"/>
          <w:szCs w:val="21"/>
          <w:highlight w:val="none"/>
        </w:rPr>
        <w:t>如自本理财产品开始认购至认购结束的期间，理财产品认购总金额未达到规模下限（如有约定）、国家宏观政策以及市场相关法规政策发生变化，或市场发生剧烈波动，经河北银行合理判断难以按照本理财产品说明书规定向投资者提供本理财产品，河北银行有权宣布本理财产品不成立。</w:t>
      </w:r>
      <w:r>
        <w:rPr>
          <w:rFonts w:hint="eastAsia" w:ascii="仿宋_GB2312" w:hAnsi="Times New Roman" w:eastAsia="仿宋_GB2312" w:cs="仿宋_GB2312"/>
          <w:kern w:val="0"/>
          <w:sz w:val="21"/>
          <w:szCs w:val="21"/>
          <w:highlight w:val="none"/>
          <w:lang w:eastAsia="zh-CN"/>
        </w:rPr>
        <w:t>河北银行最晚于产品成立日对产品不成立发布信息披露。在募集期结束后</w:t>
      </w:r>
      <w:r>
        <w:rPr>
          <w:rFonts w:hint="eastAsia" w:ascii="仿宋_GB2312" w:hAnsi="Times New Roman" w:eastAsia="仿宋_GB2312" w:cs="仿宋_GB2312"/>
          <w:kern w:val="0"/>
          <w:sz w:val="21"/>
          <w:szCs w:val="21"/>
          <w:highlight w:val="none"/>
          <w:lang w:val="en-US" w:eastAsia="zh-CN"/>
        </w:rPr>
        <w:t>5个工作日内，投资者认购资金原路径返还至投资者账户，在途期间认购资金不计息。</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10</w:t>
      </w:r>
      <w:r>
        <w:rPr>
          <w:rFonts w:hint="eastAsia" w:ascii="仿宋_GB2312" w:hAnsi="Times New Roman" w:eastAsia="仿宋_GB2312" w:cs="仿宋_GB2312"/>
          <w:b/>
          <w:bCs/>
          <w:kern w:val="0"/>
          <w:sz w:val="21"/>
          <w:szCs w:val="21"/>
          <w:highlight w:val="none"/>
        </w:rPr>
        <w:t>、理财产品提前终止风险：</w:t>
      </w:r>
      <w:r>
        <w:rPr>
          <w:rFonts w:hint="eastAsia" w:ascii="仿宋_GB2312" w:hAnsi="Times New Roman" w:eastAsia="仿宋_GB2312" w:cs="仿宋_GB2312"/>
          <w:kern w:val="0"/>
          <w:sz w:val="21"/>
          <w:szCs w:val="21"/>
          <w:highlight w:val="none"/>
        </w:rPr>
        <w:t>在本产品存续期间，若市场发生重大变动或突发事件，或发生河北银行认为需要提前终止本期产品的其他情形时，河北银行有权提前终止产品。投资者可能面临再投资风险。</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w:t>
      </w:r>
      <w:r>
        <w:rPr>
          <w:rFonts w:hint="eastAsia" w:ascii="仿宋_GB2312" w:hAnsi="Times New Roman" w:eastAsia="仿宋_GB2312" w:cs="仿宋_GB2312"/>
          <w:b/>
          <w:bCs/>
          <w:kern w:val="0"/>
          <w:sz w:val="21"/>
          <w:szCs w:val="21"/>
          <w:highlight w:val="none"/>
          <w:lang w:val="en-US" w:eastAsia="zh-CN"/>
        </w:rPr>
        <w:t>1</w:t>
      </w:r>
      <w:r>
        <w:rPr>
          <w:rFonts w:hint="eastAsia" w:ascii="仿宋_GB2312" w:hAnsi="Times New Roman" w:eastAsia="仿宋_GB2312" w:cs="仿宋_GB2312"/>
          <w:b/>
          <w:bCs/>
          <w:kern w:val="0"/>
          <w:sz w:val="21"/>
          <w:szCs w:val="21"/>
          <w:highlight w:val="none"/>
        </w:rPr>
        <w:t>、不可抗力及意外事件风险：</w:t>
      </w:r>
      <w:r>
        <w:rPr>
          <w:rFonts w:hint="eastAsia" w:ascii="仿宋_GB2312" w:hAnsi="Times New Roman" w:eastAsia="仿宋_GB2312" w:cs="仿宋_GB2312"/>
          <w:kern w:val="0"/>
          <w:sz w:val="21"/>
          <w:szCs w:val="21"/>
          <w:highlight w:val="none"/>
        </w:rPr>
        <w:t>指由于自然灾害、金融市场危机、战争等不可抗力因素的出现，将严重影响金融市场的正常运行，可能影响理财产品的受理、投资、偿还等正常进行，甚至导致本理财产品收益降低及本金损失。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w:t>
      </w:r>
      <w:r>
        <w:rPr>
          <w:rFonts w:hint="eastAsia" w:ascii="仿宋_GB2312" w:hAnsi="Times New Roman" w:eastAsia="仿宋_GB2312" w:cs="仿宋_GB2312"/>
          <w:b/>
          <w:bCs/>
          <w:kern w:val="0"/>
          <w:sz w:val="21"/>
          <w:szCs w:val="21"/>
          <w:highlight w:val="none"/>
          <w:lang w:val="en-US" w:eastAsia="zh-CN"/>
        </w:rPr>
        <w:t>2</w:t>
      </w:r>
      <w:r>
        <w:rPr>
          <w:rFonts w:hint="eastAsia" w:ascii="仿宋_GB2312" w:hAnsi="Times New Roman" w:eastAsia="仿宋_GB2312" w:cs="仿宋_GB2312"/>
          <w:b/>
          <w:bCs/>
          <w:kern w:val="0"/>
          <w:sz w:val="21"/>
          <w:szCs w:val="21"/>
          <w:highlight w:val="none"/>
        </w:rPr>
        <w:t>、税务风险：</w:t>
      </w:r>
      <w:r>
        <w:rPr>
          <w:rFonts w:hint="eastAsia" w:ascii="仿宋_GB2312" w:hAnsi="Times New Roman" w:eastAsia="仿宋_GB2312" w:cs="仿宋_GB2312"/>
          <w:kern w:val="0"/>
          <w:sz w:val="21"/>
          <w:szCs w:val="21"/>
          <w:highlight w:val="none"/>
        </w:rPr>
        <w:t>根据国家相关法律法规，理财产品运营过程中发生的应由理财产品承担的增值税应税行为，由本产品管理人申报和缴纳增值税及附加税费。该等税款将直接从理财产品中扣付缴纳，会导致理财产品税费支出增加、产品净值或实际收益降低，从而降低产品投资者的收益水平。</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13</w:t>
      </w:r>
      <w:r>
        <w:rPr>
          <w:rFonts w:hint="eastAsia" w:ascii="仿宋_GB2312" w:hAnsi="Times New Roman" w:eastAsia="仿宋_GB2312" w:cs="仿宋_GB2312"/>
          <w:b/>
          <w:bCs/>
          <w:kern w:val="0"/>
          <w:sz w:val="21"/>
          <w:szCs w:val="21"/>
          <w:highlight w:val="none"/>
        </w:rPr>
        <w:t>、最不利投资情形：</w:t>
      </w:r>
      <w:r>
        <w:rPr>
          <w:rFonts w:hint="eastAsia" w:ascii="仿宋_GB2312" w:hAnsi="Times New Roman" w:eastAsia="仿宋_GB2312" w:cs="仿宋_GB2312"/>
          <w:kern w:val="0"/>
          <w:sz w:val="21"/>
          <w:szCs w:val="21"/>
          <w:highlight w:val="none"/>
        </w:rPr>
        <w:t xml:space="preserve">可能由于市场波动导致贬值或者发生不可抗力及意外事件风险导致相应损失，届时理财资金将按照产品赎回或提前终止时的产品实际现金资产向投资者进行分配甚至导致本金全部损失。示例：若投资者购买本理财产品，理财产品本金为100000元，在资产组合项下资产全部亏损的最不利情况下，理财产品100000元本金将全部损失。 </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以上所述风险并不能涵盖理财产品的所有风险，所列具体风险只是作为例证而非对未来市场趋势的观点。</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特别提示：</w:t>
      </w:r>
      <w:r>
        <w:rPr>
          <w:rFonts w:hint="eastAsia" w:ascii="仿宋_GB2312" w:hAnsi="Times New Roman" w:eastAsia="仿宋_GB2312" w:cs="仿宋_GB2312"/>
          <w:b/>
          <w:kern w:val="0"/>
          <w:sz w:val="21"/>
          <w:szCs w:val="21"/>
          <w:highlight w:val="none"/>
        </w:rPr>
        <w:t>本理财产品不保证本金和收益，产品期限为</w:t>
      </w:r>
      <w:r>
        <w:rPr>
          <w:rFonts w:hint="eastAsia" w:ascii="仿宋_GB2312" w:hAnsi="Times New Roman" w:eastAsia="仿宋_GB2312" w:cs="仿宋_GB2312"/>
          <w:b/>
          <w:kern w:val="0"/>
          <w:sz w:val="21"/>
          <w:szCs w:val="21"/>
          <w:highlight w:val="none"/>
          <w:lang w:val="en-US" w:eastAsia="zh-CN"/>
        </w:rPr>
        <w:t>99</w:t>
      </w:r>
      <w:r>
        <w:rPr>
          <w:rFonts w:hint="eastAsia" w:ascii="仿宋_GB2312" w:hAnsi="Times New Roman" w:eastAsia="仿宋_GB2312" w:cs="仿宋_GB2312"/>
          <w:b/>
          <w:kern w:val="0"/>
          <w:sz w:val="21"/>
          <w:szCs w:val="21"/>
          <w:highlight w:val="none"/>
        </w:rPr>
        <w:t>天，风险评级为</w:t>
      </w:r>
      <w:r>
        <w:rPr>
          <w:rFonts w:hint="eastAsia" w:ascii="仿宋_GB2312" w:hAnsi="Times New Roman" w:eastAsia="仿宋_GB2312" w:cs="仿宋_GB2312"/>
          <w:b/>
          <w:color w:val="FF0000"/>
          <w:kern w:val="0"/>
          <w:sz w:val="21"/>
          <w:szCs w:val="21"/>
          <w:highlight w:val="none"/>
        </w:rPr>
        <w:t>中低风险（R2）</w:t>
      </w:r>
      <w:r>
        <w:rPr>
          <w:rFonts w:hint="eastAsia" w:ascii="仿宋_GB2312" w:hAnsi="Times New Roman" w:eastAsia="仿宋_GB2312" w:cs="仿宋_GB2312"/>
          <w:b/>
          <w:kern w:val="0"/>
          <w:sz w:val="21"/>
          <w:szCs w:val="21"/>
          <w:highlight w:val="none"/>
        </w:rPr>
        <w:t>，适合购买客户为风险承受能力为</w:t>
      </w:r>
      <w:r>
        <w:rPr>
          <w:rFonts w:hint="eastAsia" w:ascii="仿宋_GB2312" w:hAnsi="Times New Roman" w:eastAsia="仿宋_GB2312" w:cs="仿宋_GB2312"/>
          <w:b/>
          <w:color w:val="FF0000"/>
          <w:kern w:val="0"/>
          <w:sz w:val="21"/>
          <w:szCs w:val="21"/>
          <w:highlight w:val="none"/>
        </w:rPr>
        <w:t>谨慎型及以上</w:t>
      </w:r>
      <w:r>
        <w:rPr>
          <w:rFonts w:hint="eastAsia" w:ascii="仿宋_GB2312" w:hAnsi="Times New Roman" w:eastAsia="仿宋_GB2312" w:cs="仿宋_GB2312"/>
          <w:b/>
          <w:kern w:val="0"/>
          <w:sz w:val="21"/>
          <w:szCs w:val="21"/>
          <w:highlight w:val="none"/>
        </w:rPr>
        <w:t>的客户，请您充分认识投资风险，谨慎投资。</w:t>
      </w:r>
      <w:r>
        <w:rPr>
          <w:rFonts w:hint="eastAsia" w:ascii="仿宋_GB2312" w:hAnsi="Times New Roman" w:eastAsia="仿宋_GB2312" w:cs="仿宋_GB2312"/>
          <w:kern w:val="0"/>
          <w:sz w:val="21"/>
          <w:szCs w:val="21"/>
          <w:highlight w:val="none"/>
        </w:rPr>
        <w:t>如影响您风险承受能力的因素发生变化，请及时告知银行并重新进行风险承受能力评估。</w:t>
      </w:r>
    </w:p>
    <w:p>
      <w:pPr>
        <w:pStyle w:val="5"/>
        <w:keepNext w:val="0"/>
        <w:keepLines w:val="0"/>
        <w:widowControl/>
        <w:suppressLineNumbers w:val="0"/>
        <w:snapToGrid w:val="0"/>
        <w:spacing w:before="240" w:beforeAutospacing="0" w:after="240" w:afterAutospacing="0" w:line="400" w:lineRule="atLeast"/>
        <w:ind w:left="0" w:right="0" w:firstLine="422"/>
        <w:jc w:val="center"/>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kern w:val="0"/>
          <w:sz w:val="21"/>
          <w:szCs w:val="21"/>
          <w:highlight w:val="none"/>
          <w:u w:val="single"/>
          <w:lang w:val="en-US" w:eastAsia="zh-CN" w:bidi="ar"/>
        </w:rPr>
        <w:t>客户确认栏</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确认购买本理财产品为本人真实的意思表示,并认为该产品（代码:HXAGI25007）完全适合本人的投资目标、投资预期、投资经验以及风险承受能力。本人确认河北银行相关业务人员对于说明书中有关免除、限制河北银行责任的条款，和河北银行单方面拥有某些权利的条款已向本人予以说明，本人已完全理解并自愿接受。</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本人风险承受能力评级为：□保守型、□谨慎型、□稳健型、□进取型、□激进型。</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本人同时确认如下： （请您全文抄录：“本人已经阅读风险揭示，愿意承担投资风险”）</w:t>
      </w: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highlight w:val="none"/>
        </w:rPr>
      </w:pPr>
    </w:p>
    <w:p>
      <w:pPr>
        <w:rPr>
          <w:rFonts w:hint="eastAsia" w:ascii="仿宋_GB2312" w:hAnsi="仿宋_GB2312" w:eastAsia="仿宋_GB2312" w:cs="仿宋_GB2312"/>
          <w:highlight w:val="none"/>
          <w:lang w:val="en-US" w:eastAsia="zh-CN"/>
        </w:rPr>
      </w:pPr>
    </w:p>
    <w:p>
      <w:pPr>
        <w:keepNext w:val="0"/>
        <w:keepLines w:val="0"/>
        <w:widowControl/>
        <w:suppressLineNumbers w:val="0"/>
        <w:snapToGrid w:val="0"/>
        <w:spacing w:before="0" w:beforeAutospacing="0" w:after="0" w:afterAutospacing="0"/>
        <w:ind w:left="0" w:right="0"/>
        <w:jc w:val="center"/>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lang w:val="en-US" w:eastAsia="zh-CN" w:bidi="ar"/>
        </w:rPr>
        <w:t>河北银行“益友融通”个人理财业务</w:t>
      </w:r>
    </w:p>
    <w:p>
      <w:pPr>
        <w:keepNext w:val="0"/>
        <w:keepLines w:val="0"/>
        <w:widowControl/>
        <w:suppressLineNumbers w:val="0"/>
        <w:snapToGrid w:val="0"/>
        <w:spacing w:before="0" w:beforeAutospacing="0" w:after="0" w:afterAutospacing="0"/>
        <w:ind w:left="0" w:right="0"/>
        <w:jc w:val="center"/>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lang w:val="en-US" w:eastAsia="zh-CN" w:bidi="ar"/>
        </w:rPr>
        <w:t>客户权益须知</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尊敬的理财投资者：</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理财投资在获取收益的同时存在投资风险。为了保护您的合法权益，请在投资我行个人理财产品前认真阅读以下内容：</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一、理财产品购买流程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投资者首次购买理财产品须在柜面进行理财业务签约，并接受风险承受能力评估。非首次购买可以通过我行柜台或网上银行、手机银行办理理财交易。具体流程如下：</w:t>
      </w:r>
    </w:p>
    <w:p>
      <w:pPr>
        <w:keepNext/>
        <w:keepLines/>
        <w:widowControl w:val="0"/>
        <w:numPr>
          <w:ilvl w:val="0"/>
          <w:numId w:val="15"/>
        </w:numPr>
        <w:suppressLineNumbers w:val="0"/>
        <w:snapToGrid w:val="0"/>
        <w:spacing w:before="0" w:beforeAutospacing="0" w:after="0" w:afterAutospacing="0"/>
        <w:ind w:left="1133" w:right="0" w:hanging="720"/>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柜面操作流程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开立或持有我行结算账户，提交客户有效身份证件及相关资料，首次购买需在柜面进行理财业务签约，并接受风险承受能力评估，根据风险评估结果选择合适的产品。请仔细阅读《风险揭示书》、《产品说明书》、《产品销售协议书》、《客户权益须知》等相关文件，确认已同意相关内容、充分了解相关风险并无疑问和异议后，签署相关销售文件，并办理购买手续。</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（二）网上银行操作流程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通过个人网银USBKey版的“我要理财”—“理财产品”—“查询/购买理财产品”进行认申购，根据风险评估结果选择合适的产品。请仔细阅读《风险揭示书》、《产品说明书》、《产品销售协议书》、《客户权益须知》等相关文件，确认已同意相关内容、充分了解相关风险并无疑问和异议后，提交购买申请，并办理购买手续。</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（三）手机银行操作流程</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投资者通过手机银行的“理财”—“理财产品”—“购买理财产品”根据显示列表，进行认申购，根据风险评估结果选择合适的产品。请仔细阅读《风险揭示书》、《产品说明书》、《产品销售协议书》、《客户权益须知》等相关文件，确认已同意相关内容、充分了解相关风险并无疑问和异议后，提交购买申请，并办理购买手续。</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二、理财产品风险评级及投资者风险承受能力评级</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（一）理财产品风险评级</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我行依据下列标准对理财产品进行风险评级：</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1、理财产品投资范围、投资资产和投资比例；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2、理财产品期限、成本、收益测算；</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3、我行开发设计的同类理财产品过往业绩；</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4、理财产品运营过程中存在的各类风险。</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理财产品风险评级结果以风险等级体现，由低到高包括五个等级，即低风险（R1）、中低风险（R2）、中等风险（R3）、中高风险（R4）、高风险（R5）。对于结构相同的同类或系列理财产品，适用相同的风险等级。</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（二）投资者风险承受能力评级</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首次购买理财产品前须在我行网点进行风险承受能力评估。风险承受能力评估依据包括客户年龄、财务状况、投资经验、投资目的、收益预期、风险偏好、流动性要求、风险认识以及风险损失承受程度等。投资人风险承受能力评级结果由低到高分为五级,即保守型、谨慎型、稳健型、进取型、激进型。</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具体流程如下：投资者填写《河北银行理财客户风险评估问卷》、由我行工作人员录入系统后自动生成相应的客户风险等级评级结果、客户签名确认评估结果。</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为了及时更新影响您风险承受能力的各项指标情况，评估结果的有效期为一年期，若您的风险承受能力评估结果已过有效期或者在评级结果有效期内发生了可能影响您自身风险承受能力的情形，请您在再次购买理财产品前，通过我行柜面或电子银行方式重新进行风险承受能力评估。</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（三）风险匹配</w:t>
      </w:r>
    </w:p>
    <w:p>
      <w:pPr>
        <w:keepNext w:val="0"/>
        <w:keepLines w:val="0"/>
        <w:widowControl/>
        <w:suppressLineNumbers w:val="0"/>
        <w:snapToGrid w:val="0"/>
        <w:spacing w:before="0" w:beforeAutospacing="0" w:after="0" w:afterAutospacing="0"/>
        <w:ind w:left="0" w:right="0" w:firstLine="392" w:firstLineChars="187"/>
        <w:jc w:val="left"/>
        <w:outlineLvl w:val="0"/>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根据风险匹配原则，投资者风险承受能力评级与其适合产品的风险等级对应方式如下：</w:t>
      </w:r>
    </w:p>
    <w:tbl>
      <w:tblPr>
        <w:tblStyle w:val="6"/>
        <w:tblW w:w="9307" w:type="dxa"/>
        <w:tblInd w:w="103" w:type="dxa"/>
        <w:shd w:val="clear" w:color="auto" w:fill="auto"/>
        <w:tblLayout w:type="fixed"/>
        <w:tblCellMar>
          <w:top w:w="0" w:type="dxa"/>
          <w:left w:w="108" w:type="dxa"/>
          <w:bottom w:w="0" w:type="dxa"/>
          <w:right w:w="108" w:type="dxa"/>
        </w:tblCellMar>
      </w:tblPr>
      <w:tblGrid>
        <w:gridCol w:w="1139"/>
        <w:gridCol w:w="5954"/>
        <w:gridCol w:w="2214"/>
      </w:tblGrid>
      <w:tr>
        <w:tblPrEx>
          <w:shd w:val="clear" w:color="auto" w:fill="auto"/>
          <w:tblLayout w:type="fixed"/>
          <w:tblCellMar>
            <w:top w:w="0" w:type="dxa"/>
            <w:left w:w="108" w:type="dxa"/>
            <w:bottom w:w="0" w:type="dxa"/>
            <w:right w:w="108" w:type="dxa"/>
          </w:tblCellMar>
        </w:tblPrEx>
        <w:trPr>
          <w:trHeight w:val="925" w:hRule="atLeast"/>
        </w:trPr>
        <w:tc>
          <w:tcPr>
            <w:tcW w:w="113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客户类型</w:t>
            </w:r>
          </w:p>
        </w:tc>
        <w:tc>
          <w:tcPr>
            <w:tcW w:w="595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客户风险特征描述</w:t>
            </w:r>
          </w:p>
        </w:tc>
        <w:tc>
          <w:tcPr>
            <w:tcW w:w="221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适合的产品类型</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保守型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可以承担极低风险而作风保守类型的投资者。适合投资于本金损失风险极低的投资工具，但因此会牺牲资本升值的机会。</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谨慎型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可以承担较低风险及以下风险类型的投资者。适合投资于本金风险相对较小、具有一定升值能力的投资工具。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稳健型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可以承担中等风险及以下风险类型的投资者。适合投资于能够提供稳健升值能力而投资价值有温和波动的投资工具。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 R3</w:t>
            </w:r>
          </w:p>
        </w:tc>
      </w:tr>
      <w:tr>
        <w:tblPrEx>
          <w:shd w:val="clear" w:color="auto" w:fill="auto"/>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进取型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可以承担较高风险及以下风险类型的投资者。适合投资于能够提供升值能力而投资价值有波动的投资工具。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 、R3、 R4</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激进型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可以承受高风险及以下风险类型的投资者。适合投资于能够提供高升值能力而投资价值波动大的投资工具。最坏的情况下，可能失去全部投资本金并需对投资者对投资所导致的任何亏损承担责任。</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R1、R2、 R3 、R4、 R5</w:t>
            </w:r>
          </w:p>
        </w:tc>
      </w:tr>
    </w:tbl>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在投资理财前应认真阅读《河北银行理财产品说明书》、《河北银行理财产品销售协议书》、《河北银行理财产品风险揭示书》、《河北银行理财产品客户权益须知》等销售文件，了解产品具体情况，选择与自身风险承受能力相适应的理财产品。我行承诺投资人利益优先，以诚实信用、勤勉尽责的态度为投资人提供服务。</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三、信息披露</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理财产品的信息披露将通过河北银行营业网点、河北银行网站（www.hebbank.com）、电话银行、短信通知、电子邮件等渠道进行，具体方式、渠道、内容及频率以《产品说明书》中“信息披露”约定为准。</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四、投诉处理和联系方式</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（一）客户向我行投诉的方式和程序</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投资者对所购买的理财产品有任何意见或建议，可反馈至河北银行各营业网点，也可致电河北银行客户服务热线（0311-96368或400-612-9999）。我行将及时受理并给予答复。</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（二）河北银行联系方式</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网址：</w:t>
      </w:r>
      <w:r>
        <w:rPr>
          <w:rFonts w:hint="eastAsia" w:ascii="仿宋_GB2312" w:hAnsi="仿宋_GB2312" w:eastAsia="仿宋_GB2312" w:cs="仿宋_GB2312"/>
          <w:kern w:val="2"/>
          <w:sz w:val="21"/>
          <w:szCs w:val="21"/>
          <w:highlight w:val="none"/>
          <w:lang w:val="en-US" w:eastAsia="zh-CN" w:bidi="ar"/>
        </w:rPr>
        <w:fldChar w:fldCharType="begin"/>
      </w:r>
      <w:r>
        <w:rPr>
          <w:rFonts w:hint="eastAsia" w:ascii="仿宋_GB2312" w:hAnsi="仿宋_GB2312" w:eastAsia="仿宋_GB2312" w:cs="仿宋_GB2312"/>
          <w:kern w:val="2"/>
          <w:sz w:val="21"/>
          <w:szCs w:val="21"/>
          <w:highlight w:val="none"/>
          <w:lang w:val="en-US" w:eastAsia="zh-CN" w:bidi="ar"/>
        </w:rPr>
        <w:instrText xml:space="preserve"> HYPERLINK "http://www.hebbank.com" </w:instrText>
      </w:r>
      <w:r>
        <w:rPr>
          <w:rFonts w:hint="eastAsia" w:ascii="仿宋_GB2312" w:hAnsi="仿宋_GB2312" w:eastAsia="仿宋_GB2312" w:cs="仿宋_GB2312"/>
          <w:kern w:val="2"/>
          <w:sz w:val="21"/>
          <w:szCs w:val="21"/>
          <w:highlight w:val="none"/>
          <w:lang w:val="en-US" w:eastAsia="zh-CN" w:bidi="ar"/>
        </w:rPr>
        <w:fldChar w:fldCharType="separate"/>
      </w:r>
      <w:r>
        <w:rPr>
          <w:rStyle w:val="8"/>
          <w:rFonts w:hint="eastAsia" w:ascii="仿宋_GB2312" w:hAnsi="仿宋_GB2312" w:eastAsia="仿宋_GB2312" w:cs="仿宋_GB2312"/>
          <w:color w:val="0000FF"/>
          <w:kern w:val="0"/>
          <w:sz w:val="21"/>
          <w:szCs w:val="21"/>
          <w:highlight w:val="none"/>
          <w:u w:val="single"/>
        </w:rPr>
        <w:t>www.hebbank.com</w:t>
      </w:r>
      <w:r>
        <w:rPr>
          <w:rFonts w:hint="eastAsia" w:ascii="仿宋_GB2312" w:hAnsi="仿宋_GB2312" w:eastAsia="仿宋_GB2312" w:cs="仿宋_GB2312"/>
          <w:kern w:val="2"/>
          <w:sz w:val="21"/>
          <w:szCs w:val="21"/>
          <w:highlight w:val="none"/>
          <w:lang w:val="en-US" w:eastAsia="zh-CN" w:bidi="ar"/>
        </w:rPr>
        <w:fldChar w:fldCharType="end"/>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客服中心电话：400-612-9999或0311-96368</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地址：河北省石家庄市平安北大街28号</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bidi="ar"/>
        </w:rPr>
        <w:t>邮编：050011</w:t>
      </w: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ascii="仿宋" w:hAnsi="仿宋" w:eastAsia="仿宋"/>
          <w:szCs w:val="21"/>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F53470"/>
    <w:multiLevelType w:val="singleLevel"/>
    <w:tmpl w:val="C1F53470"/>
    <w:lvl w:ilvl="0" w:tentative="0">
      <w:start w:val="3"/>
      <w:numFmt w:val="decimal"/>
      <w:lvlText w:val="(%1)"/>
      <w:lvlJc w:val="left"/>
      <w:pPr>
        <w:tabs>
          <w:tab w:val="left" w:pos="312"/>
        </w:tabs>
      </w:pPr>
    </w:lvl>
  </w:abstractNum>
  <w:abstractNum w:abstractNumId="1">
    <w:nsid w:val="F9B280A8"/>
    <w:multiLevelType w:val="singleLevel"/>
    <w:tmpl w:val="F9B280A8"/>
    <w:lvl w:ilvl="0" w:tentative="0">
      <w:start w:val="1"/>
      <w:numFmt w:val="decimal"/>
      <w:lvlText w:val="(%1)"/>
      <w:lvlJc w:val="left"/>
      <w:pPr>
        <w:tabs>
          <w:tab w:val="left" w:pos="312"/>
        </w:tabs>
      </w:pPr>
    </w:lvl>
  </w:abstractNum>
  <w:abstractNum w:abstractNumId="2">
    <w:nsid w:val="024E205E"/>
    <w:multiLevelType w:val="multilevel"/>
    <w:tmpl w:val="024E205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07346ECD"/>
    <w:multiLevelType w:val="multilevel"/>
    <w:tmpl w:val="07346ECD"/>
    <w:lvl w:ilvl="0" w:tentative="0">
      <w:start w:val="1"/>
      <w:numFmt w:val="japaneseCounting"/>
      <w:lvlText w:val="（%1）"/>
      <w:lvlJc w:val="left"/>
      <w:pPr>
        <w:tabs>
          <w:tab w:val="left" w:pos="0"/>
        </w:tabs>
        <w:ind w:left="1133" w:hanging="720"/>
      </w:pPr>
      <w:rPr>
        <w:rFonts w:hint="default" w:ascii="Times New Roman" w:hAnsi="Times New Roman" w:cs="Times New Roman"/>
      </w:rPr>
    </w:lvl>
    <w:lvl w:ilvl="1" w:tentative="0">
      <w:start w:val="1"/>
      <w:numFmt w:val="lowerLetter"/>
      <w:lvlText w:val="%2)"/>
      <w:lvlJc w:val="left"/>
      <w:pPr>
        <w:tabs>
          <w:tab w:val="left" w:pos="0"/>
        </w:tabs>
        <w:ind w:left="1253" w:hanging="420"/>
      </w:pPr>
      <w:rPr>
        <w:rFonts w:hint="default" w:ascii="Times New Roman" w:hAnsi="Times New Roman" w:cs="Times New Roman"/>
      </w:rPr>
    </w:lvl>
    <w:lvl w:ilvl="2" w:tentative="0">
      <w:start w:val="1"/>
      <w:numFmt w:val="lowerRoman"/>
      <w:lvlText w:val="%3."/>
      <w:lvlJc w:val="right"/>
      <w:pPr>
        <w:tabs>
          <w:tab w:val="left" w:pos="0"/>
        </w:tabs>
        <w:ind w:left="1673" w:hanging="420"/>
      </w:pPr>
      <w:rPr>
        <w:rFonts w:hint="default" w:ascii="Times New Roman" w:hAnsi="Times New Roman" w:cs="Times New Roman"/>
      </w:rPr>
    </w:lvl>
    <w:lvl w:ilvl="3" w:tentative="0">
      <w:start w:val="1"/>
      <w:numFmt w:val="decimal"/>
      <w:lvlText w:val="%4."/>
      <w:lvlJc w:val="left"/>
      <w:pPr>
        <w:tabs>
          <w:tab w:val="left" w:pos="0"/>
        </w:tabs>
        <w:ind w:left="2093" w:hanging="420"/>
      </w:pPr>
      <w:rPr>
        <w:rFonts w:hint="default" w:ascii="Times New Roman" w:hAnsi="Times New Roman" w:cs="Times New Roman"/>
      </w:rPr>
    </w:lvl>
    <w:lvl w:ilvl="4" w:tentative="0">
      <w:start w:val="1"/>
      <w:numFmt w:val="lowerLetter"/>
      <w:lvlText w:val="%5)"/>
      <w:lvlJc w:val="left"/>
      <w:pPr>
        <w:tabs>
          <w:tab w:val="left" w:pos="0"/>
        </w:tabs>
        <w:ind w:left="2513" w:hanging="420"/>
      </w:pPr>
      <w:rPr>
        <w:rFonts w:hint="default" w:ascii="Times New Roman" w:hAnsi="Times New Roman" w:cs="Times New Roman"/>
      </w:rPr>
    </w:lvl>
    <w:lvl w:ilvl="5" w:tentative="0">
      <w:start w:val="1"/>
      <w:numFmt w:val="lowerRoman"/>
      <w:lvlText w:val="%6."/>
      <w:lvlJc w:val="right"/>
      <w:pPr>
        <w:tabs>
          <w:tab w:val="left" w:pos="0"/>
        </w:tabs>
        <w:ind w:left="2933" w:hanging="420"/>
      </w:pPr>
      <w:rPr>
        <w:rFonts w:hint="default" w:ascii="Times New Roman" w:hAnsi="Times New Roman" w:cs="Times New Roman"/>
      </w:rPr>
    </w:lvl>
    <w:lvl w:ilvl="6" w:tentative="0">
      <w:start w:val="1"/>
      <w:numFmt w:val="decimal"/>
      <w:lvlText w:val="%7."/>
      <w:lvlJc w:val="left"/>
      <w:pPr>
        <w:tabs>
          <w:tab w:val="left" w:pos="0"/>
        </w:tabs>
        <w:ind w:left="3353" w:hanging="420"/>
      </w:pPr>
      <w:rPr>
        <w:rFonts w:hint="default" w:ascii="Times New Roman" w:hAnsi="Times New Roman" w:cs="Times New Roman"/>
      </w:rPr>
    </w:lvl>
    <w:lvl w:ilvl="7" w:tentative="0">
      <w:start w:val="1"/>
      <w:numFmt w:val="lowerLetter"/>
      <w:lvlText w:val="%8)"/>
      <w:lvlJc w:val="left"/>
      <w:pPr>
        <w:tabs>
          <w:tab w:val="left" w:pos="0"/>
        </w:tabs>
        <w:ind w:left="3773" w:hanging="420"/>
      </w:pPr>
      <w:rPr>
        <w:rFonts w:hint="default" w:ascii="Times New Roman" w:hAnsi="Times New Roman" w:cs="Times New Roman"/>
      </w:rPr>
    </w:lvl>
    <w:lvl w:ilvl="8" w:tentative="0">
      <w:start w:val="1"/>
      <w:numFmt w:val="lowerRoman"/>
      <w:lvlText w:val="%9."/>
      <w:lvlJc w:val="right"/>
      <w:pPr>
        <w:tabs>
          <w:tab w:val="left" w:pos="0"/>
        </w:tabs>
        <w:ind w:left="4193" w:hanging="420"/>
      </w:pPr>
      <w:rPr>
        <w:rFonts w:hint="default" w:ascii="Times New Roman" w:hAnsi="Times New Roman" w:cs="Times New Roman"/>
      </w:rPr>
    </w:lvl>
  </w:abstractNum>
  <w:abstractNum w:abstractNumId="4">
    <w:nsid w:val="08DA3BD5"/>
    <w:multiLevelType w:val="multilevel"/>
    <w:tmpl w:val="08DA3BD5"/>
    <w:lvl w:ilvl="0" w:tentative="0">
      <w:start w:val="1"/>
      <w:numFmt w:val="decimal"/>
      <w:lvlText w:val="%1)"/>
      <w:lvlJc w:val="left"/>
      <w:pPr>
        <w:ind w:left="1258" w:hanging="420"/>
      </w:pPr>
    </w:lvl>
    <w:lvl w:ilvl="1" w:tentative="0">
      <w:start w:val="1"/>
      <w:numFmt w:val="lowerLetter"/>
      <w:lvlText w:val="%2)"/>
      <w:lvlJc w:val="left"/>
      <w:pPr>
        <w:ind w:left="1678" w:hanging="420"/>
      </w:pPr>
    </w:lvl>
    <w:lvl w:ilvl="2" w:tentative="0">
      <w:start w:val="1"/>
      <w:numFmt w:val="lowerRoman"/>
      <w:lvlText w:val="%3."/>
      <w:lvlJc w:val="right"/>
      <w:pPr>
        <w:ind w:left="2098" w:hanging="420"/>
      </w:pPr>
    </w:lvl>
    <w:lvl w:ilvl="3" w:tentative="0">
      <w:start w:val="1"/>
      <w:numFmt w:val="decimal"/>
      <w:lvlText w:val="%4."/>
      <w:lvlJc w:val="left"/>
      <w:pPr>
        <w:ind w:left="2518" w:hanging="420"/>
      </w:pPr>
    </w:lvl>
    <w:lvl w:ilvl="4" w:tentative="0">
      <w:start w:val="1"/>
      <w:numFmt w:val="lowerLetter"/>
      <w:lvlText w:val="%5)"/>
      <w:lvlJc w:val="left"/>
      <w:pPr>
        <w:ind w:left="2938" w:hanging="420"/>
      </w:pPr>
    </w:lvl>
    <w:lvl w:ilvl="5" w:tentative="0">
      <w:start w:val="1"/>
      <w:numFmt w:val="lowerRoman"/>
      <w:lvlText w:val="%6."/>
      <w:lvlJc w:val="right"/>
      <w:pPr>
        <w:ind w:left="3358" w:hanging="420"/>
      </w:pPr>
    </w:lvl>
    <w:lvl w:ilvl="6" w:tentative="0">
      <w:start w:val="1"/>
      <w:numFmt w:val="decimal"/>
      <w:lvlText w:val="%7."/>
      <w:lvlJc w:val="left"/>
      <w:pPr>
        <w:ind w:left="3778" w:hanging="420"/>
      </w:pPr>
    </w:lvl>
    <w:lvl w:ilvl="7" w:tentative="0">
      <w:start w:val="1"/>
      <w:numFmt w:val="lowerLetter"/>
      <w:lvlText w:val="%8)"/>
      <w:lvlJc w:val="left"/>
      <w:pPr>
        <w:ind w:left="4198" w:hanging="420"/>
      </w:pPr>
    </w:lvl>
    <w:lvl w:ilvl="8" w:tentative="0">
      <w:start w:val="1"/>
      <w:numFmt w:val="lowerRoman"/>
      <w:lvlText w:val="%9."/>
      <w:lvlJc w:val="right"/>
      <w:pPr>
        <w:ind w:left="4618" w:hanging="420"/>
      </w:pPr>
    </w:lvl>
  </w:abstractNum>
  <w:abstractNum w:abstractNumId="5">
    <w:nsid w:val="0F293A2C"/>
    <w:multiLevelType w:val="multilevel"/>
    <w:tmpl w:val="0F293A2C"/>
    <w:lvl w:ilvl="0" w:tentative="0">
      <w:start w:val="1"/>
      <w:numFmt w:val="decimal"/>
      <w:lvlText w:val="%1."/>
      <w:lvlJc w:val="left"/>
      <w:pPr>
        <w:ind w:left="1129" w:hanging="420"/>
      </w:pPr>
      <w:rPr>
        <w:b w:val="0"/>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6">
    <w:nsid w:val="1D2F574B"/>
    <w:multiLevelType w:val="multilevel"/>
    <w:tmpl w:val="1D2F574B"/>
    <w:lvl w:ilvl="0" w:tentative="0">
      <w:start w:val="1"/>
      <w:numFmt w:val="decimal"/>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7">
    <w:nsid w:val="39110EA5"/>
    <w:multiLevelType w:val="multilevel"/>
    <w:tmpl w:val="39110EA5"/>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8">
    <w:nsid w:val="3D843E0E"/>
    <w:multiLevelType w:val="multilevel"/>
    <w:tmpl w:val="3D843E0E"/>
    <w:lvl w:ilvl="0" w:tentative="0">
      <w:start w:val="1"/>
      <w:numFmt w:val="decimal"/>
      <w:lvlText w:val="%1)"/>
      <w:lvlJc w:val="left"/>
      <w:pPr>
        <w:ind w:left="1656" w:hanging="420"/>
      </w:pPr>
    </w:lvl>
    <w:lvl w:ilvl="1" w:tentative="0">
      <w:start w:val="1"/>
      <w:numFmt w:val="lowerLetter"/>
      <w:lvlText w:val="%2)"/>
      <w:lvlJc w:val="left"/>
      <w:pPr>
        <w:ind w:left="2076" w:hanging="420"/>
      </w:pPr>
    </w:lvl>
    <w:lvl w:ilvl="2" w:tentative="0">
      <w:start w:val="1"/>
      <w:numFmt w:val="lowerRoman"/>
      <w:lvlText w:val="%3."/>
      <w:lvlJc w:val="right"/>
      <w:pPr>
        <w:ind w:left="2496" w:hanging="420"/>
      </w:pPr>
    </w:lvl>
    <w:lvl w:ilvl="3" w:tentative="0">
      <w:start w:val="1"/>
      <w:numFmt w:val="decimal"/>
      <w:lvlText w:val="%4."/>
      <w:lvlJc w:val="left"/>
      <w:pPr>
        <w:ind w:left="2916" w:hanging="420"/>
      </w:pPr>
    </w:lvl>
    <w:lvl w:ilvl="4" w:tentative="0">
      <w:start w:val="1"/>
      <w:numFmt w:val="lowerLetter"/>
      <w:lvlText w:val="%5)"/>
      <w:lvlJc w:val="left"/>
      <w:pPr>
        <w:ind w:left="3336" w:hanging="420"/>
      </w:pPr>
    </w:lvl>
    <w:lvl w:ilvl="5" w:tentative="0">
      <w:start w:val="1"/>
      <w:numFmt w:val="lowerRoman"/>
      <w:lvlText w:val="%6."/>
      <w:lvlJc w:val="right"/>
      <w:pPr>
        <w:ind w:left="3756" w:hanging="420"/>
      </w:pPr>
    </w:lvl>
    <w:lvl w:ilvl="6" w:tentative="0">
      <w:start w:val="1"/>
      <w:numFmt w:val="decimal"/>
      <w:lvlText w:val="%7."/>
      <w:lvlJc w:val="left"/>
      <w:pPr>
        <w:ind w:left="4176" w:hanging="420"/>
      </w:pPr>
    </w:lvl>
    <w:lvl w:ilvl="7" w:tentative="0">
      <w:start w:val="1"/>
      <w:numFmt w:val="lowerLetter"/>
      <w:lvlText w:val="%8)"/>
      <w:lvlJc w:val="left"/>
      <w:pPr>
        <w:ind w:left="4596" w:hanging="420"/>
      </w:pPr>
    </w:lvl>
    <w:lvl w:ilvl="8" w:tentative="0">
      <w:start w:val="1"/>
      <w:numFmt w:val="lowerRoman"/>
      <w:lvlText w:val="%9."/>
      <w:lvlJc w:val="right"/>
      <w:pPr>
        <w:ind w:left="5016" w:hanging="420"/>
      </w:pPr>
    </w:lvl>
  </w:abstractNum>
  <w:abstractNum w:abstractNumId="9">
    <w:nsid w:val="448150A1"/>
    <w:multiLevelType w:val="multilevel"/>
    <w:tmpl w:val="448150A1"/>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4B6C2B14"/>
    <w:multiLevelType w:val="multilevel"/>
    <w:tmpl w:val="4B6C2B14"/>
    <w:lvl w:ilvl="0" w:tentative="0">
      <w:start w:val="1"/>
      <w:numFmt w:val="decimal"/>
      <w:lvlText w:val="%1."/>
      <w:lvlJc w:val="left"/>
      <w:pPr>
        <w:ind w:left="1129" w:hanging="420"/>
      </w:pPr>
      <w:rPr>
        <w:b w:val="0"/>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1">
    <w:nsid w:val="4E25375E"/>
    <w:multiLevelType w:val="multilevel"/>
    <w:tmpl w:val="4E25375E"/>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2">
    <w:nsid w:val="550B50EC"/>
    <w:multiLevelType w:val="multilevel"/>
    <w:tmpl w:val="550B50EC"/>
    <w:lvl w:ilvl="0" w:tentative="0">
      <w:start w:val="1"/>
      <w:numFmt w:val="chineseCountingThousand"/>
      <w:lvlText w:val="(%1)"/>
      <w:lvlJc w:val="left"/>
      <w:pPr>
        <w:ind w:left="840" w:hanging="420"/>
      </w:pPr>
      <w:rPr>
        <w:b/>
        <w:i w:val="0"/>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5FA33B5F"/>
    <w:multiLevelType w:val="multilevel"/>
    <w:tmpl w:val="5FA33B5F"/>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4">
    <w:nsid w:val="702D3732"/>
    <w:multiLevelType w:val="multilevel"/>
    <w:tmpl w:val="702D3732"/>
    <w:lvl w:ilvl="0" w:tentative="0">
      <w:start w:val="1"/>
      <w:numFmt w:val="decimal"/>
      <w:lvlText w:val="%1."/>
      <w:lvlJc w:val="left"/>
      <w:pPr>
        <w:ind w:left="846" w:hanging="420"/>
      </w:p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num w:numId="1">
    <w:abstractNumId w:val="2"/>
  </w:num>
  <w:num w:numId="2">
    <w:abstractNumId w:val="12"/>
  </w:num>
  <w:num w:numId="3">
    <w:abstractNumId w:val="9"/>
  </w:num>
  <w:num w:numId="4">
    <w:abstractNumId w:val="4"/>
  </w:num>
  <w:num w:numId="5">
    <w:abstractNumId w:val="14"/>
  </w:num>
  <w:num w:numId="6">
    <w:abstractNumId w:val="6"/>
  </w:num>
  <w:num w:numId="7">
    <w:abstractNumId w:val="8"/>
  </w:num>
  <w:num w:numId="8">
    <w:abstractNumId w:val="7"/>
  </w:num>
  <w:num w:numId="9">
    <w:abstractNumId w:val="10"/>
  </w:num>
  <w:num w:numId="10">
    <w:abstractNumId w:val="5"/>
  </w:num>
  <w:num w:numId="11">
    <w:abstractNumId w:val="1"/>
  </w:num>
  <w:num w:numId="12">
    <w:abstractNumId w:val="0"/>
  </w:num>
  <w:num w:numId="13">
    <w:abstractNumId w:val="11"/>
  </w:num>
  <w:num w:numId="14">
    <w:abstractNumId w:val="13"/>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3C7"/>
    <w:rsid w:val="000008B1"/>
    <w:rsid w:val="00001C96"/>
    <w:rsid w:val="00020C62"/>
    <w:rsid w:val="000253EC"/>
    <w:rsid w:val="00026284"/>
    <w:rsid w:val="00031700"/>
    <w:rsid w:val="00033540"/>
    <w:rsid w:val="000368B3"/>
    <w:rsid w:val="00041387"/>
    <w:rsid w:val="00042F4E"/>
    <w:rsid w:val="00044DB1"/>
    <w:rsid w:val="0004667B"/>
    <w:rsid w:val="00056E86"/>
    <w:rsid w:val="00063FD7"/>
    <w:rsid w:val="0006754A"/>
    <w:rsid w:val="00071E9F"/>
    <w:rsid w:val="00075C6B"/>
    <w:rsid w:val="00085CD9"/>
    <w:rsid w:val="0008723B"/>
    <w:rsid w:val="00090CBF"/>
    <w:rsid w:val="0009142D"/>
    <w:rsid w:val="00093843"/>
    <w:rsid w:val="000A12AB"/>
    <w:rsid w:val="000A3CD4"/>
    <w:rsid w:val="000A4F94"/>
    <w:rsid w:val="000A7104"/>
    <w:rsid w:val="000B1D9D"/>
    <w:rsid w:val="000B2387"/>
    <w:rsid w:val="000B2C77"/>
    <w:rsid w:val="000B4995"/>
    <w:rsid w:val="000B4A1C"/>
    <w:rsid w:val="000C4A86"/>
    <w:rsid w:val="000D159E"/>
    <w:rsid w:val="000D2745"/>
    <w:rsid w:val="000D30D8"/>
    <w:rsid w:val="000D5711"/>
    <w:rsid w:val="000E3261"/>
    <w:rsid w:val="000F05F4"/>
    <w:rsid w:val="000F3636"/>
    <w:rsid w:val="001070CD"/>
    <w:rsid w:val="0011270E"/>
    <w:rsid w:val="00114203"/>
    <w:rsid w:val="00117DEB"/>
    <w:rsid w:val="001327BF"/>
    <w:rsid w:val="00137492"/>
    <w:rsid w:val="001559DC"/>
    <w:rsid w:val="00156F28"/>
    <w:rsid w:val="00160D49"/>
    <w:rsid w:val="00166CA1"/>
    <w:rsid w:val="00170577"/>
    <w:rsid w:val="00171792"/>
    <w:rsid w:val="00180D49"/>
    <w:rsid w:val="00182BDC"/>
    <w:rsid w:val="00186237"/>
    <w:rsid w:val="00190A7A"/>
    <w:rsid w:val="00190B1F"/>
    <w:rsid w:val="00191299"/>
    <w:rsid w:val="00194FB9"/>
    <w:rsid w:val="001A29B2"/>
    <w:rsid w:val="001A2E48"/>
    <w:rsid w:val="001A6F16"/>
    <w:rsid w:val="001B0934"/>
    <w:rsid w:val="001B32CC"/>
    <w:rsid w:val="001B4D35"/>
    <w:rsid w:val="001B5499"/>
    <w:rsid w:val="001C17FD"/>
    <w:rsid w:val="001C5EC9"/>
    <w:rsid w:val="001D6FDA"/>
    <w:rsid w:val="001E3087"/>
    <w:rsid w:val="001E49AD"/>
    <w:rsid w:val="001E7051"/>
    <w:rsid w:val="001E7585"/>
    <w:rsid w:val="00205FB0"/>
    <w:rsid w:val="00223EE7"/>
    <w:rsid w:val="002338AC"/>
    <w:rsid w:val="00235895"/>
    <w:rsid w:val="002369A2"/>
    <w:rsid w:val="00243526"/>
    <w:rsid w:val="00243D34"/>
    <w:rsid w:val="00244F90"/>
    <w:rsid w:val="00245A53"/>
    <w:rsid w:val="00253CB4"/>
    <w:rsid w:val="002623C7"/>
    <w:rsid w:val="0027272B"/>
    <w:rsid w:val="0027273C"/>
    <w:rsid w:val="0027492F"/>
    <w:rsid w:val="002821AE"/>
    <w:rsid w:val="00283D21"/>
    <w:rsid w:val="00284C58"/>
    <w:rsid w:val="00286756"/>
    <w:rsid w:val="0028703A"/>
    <w:rsid w:val="002873E1"/>
    <w:rsid w:val="00291F78"/>
    <w:rsid w:val="002952E7"/>
    <w:rsid w:val="00296EE1"/>
    <w:rsid w:val="002A1A76"/>
    <w:rsid w:val="002B0F4F"/>
    <w:rsid w:val="002B19CE"/>
    <w:rsid w:val="002C0CF3"/>
    <w:rsid w:val="002C3AA4"/>
    <w:rsid w:val="002D23BB"/>
    <w:rsid w:val="002F42B4"/>
    <w:rsid w:val="003006BB"/>
    <w:rsid w:val="00302463"/>
    <w:rsid w:val="00305D96"/>
    <w:rsid w:val="00307431"/>
    <w:rsid w:val="0031407C"/>
    <w:rsid w:val="00320C78"/>
    <w:rsid w:val="00321814"/>
    <w:rsid w:val="00321B45"/>
    <w:rsid w:val="00322B2D"/>
    <w:rsid w:val="003253F8"/>
    <w:rsid w:val="003267C4"/>
    <w:rsid w:val="00326CF1"/>
    <w:rsid w:val="003344FE"/>
    <w:rsid w:val="00342284"/>
    <w:rsid w:val="0034409E"/>
    <w:rsid w:val="00345E9C"/>
    <w:rsid w:val="0034606A"/>
    <w:rsid w:val="00350C38"/>
    <w:rsid w:val="00353094"/>
    <w:rsid w:val="003655EF"/>
    <w:rsid w:val="00367BC2"/>
    <w:rsid w:val="003744CA"/>
    <w:rsid w:val="0037486E"/>
    <w:rsid w:val="00374DAF"/>
    <w:rsid w:val="00380362"/>
    <w:rsid w:val="00390E83"/>
    <w:rsid w:val="0039156A"/>
    <w:rsid w:val="00394FB2"/>
    <w:rsid w:val="0039641F"/>
    <w:rsid w:val="003A0DF7"/>
    <w:rsid w:val="003A66CE"/>
    <w:rsid w:val="003B1755"/>
    <w:rsid w:val="003B6528"/>
    <w:rsid w:val="003C3D28"/>
    <w:rsid w:val="003C71C2"/>
    <w:rsid w:val="003D2DD8"/>
    <w:rsid w:val="003D444D"/>
    <w:rsid w:val="003D5406"/>
    <w:rsid w:val="003D60EB"/>
    <w:rsid w:val="003D7BD2"/>
    <w:rsid w:val="00400662"/>
    <w:rsid w:val="004119B3"/>
    <w:rsid w:val="00411FCE"/>
    <w:rsid w:val="00415419"/>
    <w:rsid w:val="00420964"/>
    <w:rsid w:val="00420CC0"/>
    <w:rsid w:val="00422661"/>
    <w:rsid w:val="00423CE2"/>
    <w:rsid w:val="0042600C"/>
    <w:rsid w:val="00433766"/>
    <w:rsid w:val="00442E62"/>
    <w:rsid w:val="0044697A"/>
    <w:rsid w:val="00447725"/>
    <w:rsid w:val="00450B44"/>
    <w:rsid w:val="00453A9A"/>
    <w:rsid w:val="00463CF6"/>
    <w:rsid w:val="00466D2A"/>
    <w:rsid w:val="00476ED5"/>
    <w:rsid w:val="00480D50"/>
    <w:rsid w:val="00487BC5"/>
    <w:rsid w:val="00493188"/>
    <w:rsid w:val="00493C97"/>
    <w:rsid w:val="00496267"/>
    <w:rsid w:val="004A0BFE"/>
    <w:rsid w:val="004A1F80"/>
    <w:rsid w:val="004A3E5C"/>
    <w:rsid w:val="004B00AF"/>
    <w:rsid w:val="004B40C0"/>
    <w:rsid w:val="004B7C9E"/>
    <w:rsid w:val="004C181F"/>
    <w:rsid w:val="004C2B53"/>
    <w:rsid w:val="004D07A0"/>
    <w:rsid w:val="004D1EB9"/>
    <w:rsid w:val="004D70C6"/>
    <w:rsid w:val="004D7289"/>
    <w:rsid w:val="004F0355"/>
    <w:rsid w:val="004F4EE7"/>
    <w:rsid w:val="00500BEC"/>
    <w:rsid w:val="00500ECF"/>
    <w:rsid w:val="00504AEC"/>
    <w:rsid w:val="00512CF6"/>
    <w:rsid w:val="00515591"/>
    <w:rsid w:val="005221DD"/>
    <w:rsid w:val="005250DA"/>
    <w:rsid w:val="005339B5"/>
    <w:rsid w:val="00542103"/>
    <w:rsid w:val="00542CE3"/>
    <w:rsid w:val="005465F0"/>
    <w:rsid w:val="005468F0"/>
    <w:rsid w:val="005474DC"/>
    <w:rsid w:val="00561083"/>
    <w:rsid w:val="0056262F"/>
    <w:rsid w:val="00570603"/>
    <w:rsid w:val="00571D9A"/>
    <w:rsid w:val="00574B42"/>
    <w:rsid w:val="005753E2"/>
    <w:rsid w:val="00582EC4"/>
    <w:rsid w:val="00583683"/>
    <w:rsid w:val="00595A53"/>
    <w:rsid w:val="0059722E"/>
    <w:rsid w:val="00597EEC"/>
    <w:rsid w:val="005A12A2"/>
    <w:rsid w:val="005A4C30"/>
    <w:rsid w:val="005A51D3"/>
    <w:rsid w:val="005B2A72"/>
    <w:rsid w:val="005B344C"/>
    <w:rsid w:val="005B5990"/>
    <w:rsid w:val="005C3846"/>
    <w:rsid w:val="005C6506"/>
    <w:rsid w:val="005C7902"/>
    <w:rsid w:val="005D765A"/>
    <w:rsid w:val="005E0806"/>
    <w:rsid w:val="005E3D3A"/>
    <w:rsid w:val="005F11FB"/>
    <w:rsid w:val="00600CE1"/>
    <w:rsid w:val="0060755C"/>
    <w:rsid w:val="00616BC7"/>
    <w:rsid w:val="0061784F"/>
    <w:rsid w:val="00630C52"/>
    <w:rsid w:val="00631B0C"/>
    <w:rsid w:val="00636A3D"/>
    <w:rsid w:val="00643024"/>
    <w:rsid w:val="00650F6B"/>
    <w:rsid w:val="00652C13"/>
    <w:rsid w:val="00663518"/>
    <w:rsid w:val="0066463B"/>
    <w:rsid w:val="006774E1"/>
    <w:rsid w:val="006821E4"/>
    <w:rsid w:val="00686676"/>
    <w:rsid w:val="00691292"/>
    <w:rsid w:val="00691876"/>
    <w:rsid w:val="006A4246"/>
    <w:rsid w:val="006A437F"/>
    <w:rsid w:val="006B2EB4"/>
    <w:rsid w:val="006B34DF"/>
    <w:rsid w:val="006C2E7C"/>
    <w:rsid w:val="006C35EF"/>
    <w:rsid w:val="006D033A"/>
    <w:rsid w:val="006D5889"/>
    <w:rsid w:val="006D5D8D"/>
    <w:rsid w:val="006D5ECC"/>
    <w:rsid w:val="006E175C"/>
    <w:rsid w:val="006F090A"/>
    <w:rsid w:val="006F0A9A"/>
    <w:rsid w:val="006F1CB9"/>
    <w:rsid w:val="006F2AD5"/>
    <w:rsid w:val="006F3AF6"/>
    <w:rsid w:val="00704C47"/>
    <w:rsid w:val="0070796F"/>
    <w:rsid w:val="0071691C"/>
    <w:rsid w:val="0071704A"/>
    <w:rsid w:val="0071757C"/>
    <w:rsid w:val="00726D32"/>
    <w:rsid w:val="00751E02"/>
    <w:rsid w:val="007554CF"/>
    <w:rsid w:val="007564EC"/>
    <w:rsid w:val="00757CFC"/>
    <w:rsid w:val="00760A2C"/>
    <w:rsid w:val="00760F42"/>
    <w:rsid w:val="0076649D"/>
    <w:rsid w:val="00771D84"/>
    <w:rsid w:val="00774EA6"/>
    <w:rsid w:val="00780543"/>
    <w:rsid w:val="007826A9"/>
    <w:rsid w:val="00785179"/>
    <w:rsid w:val="007871F1"/>
    <w:rsid w:val="00796E30"/>
    <w:rsid w:val="007A06C9"/>
    <w:rsid w:val="007A0DD3"/>
    <w:rsid w:val="007A4055"/>
    <w:rsid w:val="007B6C04"/>
    <w:rsid w:val="007C0BF0"/>
    <w:rsid w:val="007C13C7"/>
    <w:rsid w:val="007D7B8E"/>
    <w:rsid w:val="007E2DBB"/>
    <w:rsid w:val="007E48C3"/>
    <w:rsid w:val="007E7623"/>
    <w:rsid w:val="007F4D2D"/>
    <w:rsid w:val="00810249"/>
    <w:rsid w:val="00825C41"/>
    <w:rsid w:val="00825F23"/>
    <w:rsid w:val="0082771C"/>
    <w:rsid w:val="00843173"/>
    <w:rsid w:val="00861E9B"/>
    <w:rsid w:val="008700AF"/>
    <w:rsid w:val="00871F1B"/>
    <w:rsid w:val="008720F4"/>
    <w:rsid w:val="00885B66"/>
    <w:rsid w:val="008903E4"/>
    <w:rsid w:val="00893C2D"/>
    <w:rsid w:val="00894615"/>
    <w:rsid w:val="00895BB9"/>
    <w:rsid w:val="00895D34"/>
    <w:rsid w:val="008A1A6F"/>
    <w:rsid w:val="008A21EA"/>
    <w:rsid w:val="008A30B3"/>
    <w:rsid w:val="008A3619"/>
    <w:rsid w:val="008A562D"/>
    <w:rsid w:val="008A56BC"/>
    <w:rsid w:val="008A6E7B"/>
    <w:rsid w:val="008B0C9D"/>
    <w:rsid w:val="008C1C32"/>
    <w:rsid w:val="008C1E58"/>
    <w:rsid w:val="008D4A77"/>
    <w:rsid w:val="008D592B"/>
    <w:rsid w:val="008D7850"/>
    <w:rsid w:val="008E4127"/>
    <w:rsid w:val="008E4315"/>
    <w:rsid w:val="008E7D0F"/>
    <w:rsid w:val="008F110F"/>
    <w:rsid w:val="008F56DF"/>
    <w:rsid w:val="00905175"/>
    <w:rsid w:val="0091147D"/>
    <w:rsid w:val="009139FA"/>
    <w:rsid w:val="0091479D"/>
    <w:rsid w:val="009156A5"/>
    <w:rsid w:val="00922256"/>
    <w:rsid w:val="009331FD"/>
    <w:rsid w:val="009348BD"/>
    <w:rsid w:val="009409C8"/>
    <w:rsid w:val="0094185A"/>
    <w:rsid w:val="00944B19"/>
    <w:rsid w:val="00947844"/>
    <w:rsid w:val="0095023D"/>
    <w:rsid w:val="00955522"/>
    <w:rsid w:val="00955DBE"/>
    <w:rsid w:val="00964B3C"/>
    <w:rsid w:val="00967D60"/>
    <w:rsid w:val="00973348"/>
    <w:rsid w:val="009740C4"/>
    <w:rsid w:val="00974EA9"/>
    <w:rsid w:val="00975A0F"/>
    <w:rsid w:val="00986649"/>
    <w:rsid w:val="00992C32"/>
    <w:rsid w:val="009A064B"/>
    <w:rsid w:val="009A6197"/>
    <w:rsid w:val="009B17D7"/>
    <w:rsid w:val="009B230C"/>
    <w:rsid w:val="009C0AF3"/>
    <w:rsid w:val="009D0DAB"/>
    <w:rsid w:val="009D61F7"/>
    <w:rsid w:val="009D6E3F"/>
    <w:rsid w:val="009E185D"/>
    <w:rsid w:val="009F131D"/>
    <w:rsid w:val="00A0036F"/>
    <w:rsid w:val="00A060EF"/>
    <w:rsid w:val="00A11924"/>
    <w:rsid w:val="00A20FE5"/>
    <w:rsid w:val="00A23AF7"/>
    <w:rsid w:val="00A33C4B"/>
    <w:rsid w:val="00A35454"/>
    <w:rsid w:val="00A46BB5"/>
    <w:rsid w:val="00A50AFA"/>
    <w:rsid w:val="00A54D4C"/>
    <w:rsid w:val="00A55330"/>
    <w:rsid w:val="00A67D4F"/>
    <w:rsid w:val="00A742CF"/>
    <w:rsid w:val="00A816D5"/>
    <w:rsid w:val="00A83DDE"/>
    <w:rsid w:val="00AB5240"/>
    <w:rsid w:val="00AB7D51"/>
    <w:rsid w:val="00AC3098"/>
    <w:rsid w:val="00AC66CE"/>
    <w:rsid w:val="00AC6AF9"/>
    <w:rsid w:val="00AD22AF"/>
    <w:rsid w:val="00AE44C0"/>
    <w:rsid w:val="00AF1F34"/>
    <w:rsid w:val="00AF235B"/>
    <w:rsid w:val="00B0081D"/>
    <w:rsid w:val="00B05410"/>
    <w:rsid w:val="00B12B00"/>
    <w:rsid w:val="00B12DB3"/>
    <w:rsid w:val="00B1715C"/>
    <w:rsid w:val="00B206A7"/>
    <w:rsid w:val="00B24075"/>
    <w:rsid w:val="00B24632"/>
    <w:rsid w:val="00B248B1"/>
    <w:rsid w:val="00B26CA9"/>
    <w:rsid w:val="00B3705F"/>
    <w:rsid w:val="00B4117E"/>
    <w:rsid w:val="00B417C0"/>
    <w:rsid w:val="00B453A2"/>
    <w:rsid w:val="00B45FCF"/>
    <w:rsid w:val="00B52C18"/>
    <w:rsid w:val="00B5736C"/>
    <w:rsid w:val="00B703AC"/>
    <w:rsid w:val="00B73F84"/>
    <w:rsid w:val="00B74046"/>
    <w:rsid w:val="00B8275E"/>
    <w:rsid w:val="00B857F8"/>
    <w:rsid w:val="00B91EAE"/>
    <w:rsid w:val="00B93767"/>
    <w:rsid w:val="00BA2E35"/>
    <w:rsid w:val="00BB237A"/>
    <w:rsid w:val="00BB2546"/>
    <w:rsid w:val="00BB3C05"/>
    <w:rsid w:val="00BC2D68"/>
    <w:rsid w:val="00BC2E33"/>
    <w:rsid w:val="00BC50CA"/>
    <w:rsid w:val="00BC6EC9"/>
    <w:rsid w:val="00BC7E43"/>
    <w:rsid w:val="00BD47AC"/>
    <w:rsid w:val="00BD57E3"/>
    <w:rsid w:val="00BE09C3"/>
    <w:rsid w:val="00BE136C"/>
    <w:rsid w:val="00BF028D"/>
    <w:rsid w:val="00C02950"/>
    <w:rsid w:val="00C06035"/>
    <w:rsid w:val="00C1183D"/>
    <w:rsid w:val="00C16FA8"/>
    <w:rsid w:val="00C20251"/>
    <w:rsid w:val="00C23AFD"/>
    <w:rsid w:val="00C2415F"/>
    <w:rsid w:val="00C24BAD"/>
    <w:rsid w:val="00C368A2"/>
    <w:rsid w:val="00C440FB"/>
    <w:rsid w:val="00C468E1"/>
    <w:rsid w:val="00C55D1F"/>
    <w:rsid w:val="00C57CF2"/>
    <w:rsid w:val="00C70801"/>
    <w:rsid w:val="00C712FB"/>
    <w:rsid w:val="00C7475A"/>
    <w:rsid w:val="00C7569B"/>
    <w:rsid w:val="00C77A38"/>
    <w:rsid w:val="00C86947"/>
    <w:rsid w:val="00C8755C"/>
    <w:rsid w:val="00C92145"/>
    <w:rsid w:val="00C92D1D"/>
    <w:rsid w:val="00C944BB"/>
    <w:rsid w:val="00C95A3D"/>
    <w:rsid w:val="00C97456"/>
    <w:rsid w:val="00CA101A"/>
    <w:rsid w:val="00CA1BFB"/>
    <w:rsid w:val="00CA4233"/>
    <w:rsid w:val="00CA7FF6"/>
    <w:rsid w:val="00CC4F42"/>
    <w:rsid w:val="00CD0673"/>
    <w:rsid w:val="00CD11A5"/>
    <w:rsid w:val="00CD7FF7"/>
    <w:rsid w:val="00CE56C4"/>
    <w:rsid w:val="00CE71F5"/>
    <w:rsid w:val="00CE72B9"/>
    <w:rsid w:val="00CF0A74"/>
    <w:rsid w:val="00CF0B57"/>
    <w:rsid w:val="00CF3F48"/>
    <w:rsid w:val="00CF4C50"/>
    <w:rsid w:val="00CF662B"/>
    <w:rsid w:val="00D01465"/>
    <w:rsid w:val="00D0431A"/>
    <w:rsid w:val="00D0555C"/>
    <w:rsid w:val="00D124CA"/>
    <w:rsid w:val="00D265DD"/>
    <w:rsid w:val="00D3296E"/>
    <w:rsid w:val="00D365E0"/>
    <w:rsid w:val="00D36643"/>
    <w:rsid w:val="00D376F4"/>
    <w:rsid w:val="00D5619C"/>
    <w:rsid w:val="00D66E71"/>
    <w:rsid w:val="00D768DF"/>
    <w:rsid w:val="00D80761"/>
    <w:rsid w:val="00D86194"/>
    <w:rsid w:val="00D9228C"/>
    <w:rsid w:val="00DA5BEF"/>
    <w:rsid w:val="00DB2FCA"/>
    <w:rsid w:val="00DC188A"/>
    <w:rsid w:val="00DC461F"/>
    <w:rsid w:val="00DC7A25"/>
    <w:rsid w:val="00DD5901"/>
    <w:rsid w:val="00DE5B45"/>
    <w:rsid w:val="00DE799B"/>
    <w:rsid w:val="00DF43D7"/>
    <w:rsid w:val="00DF479B"/>
    <w:rsid w:val="00DF5D53"/>
    <w:rsid w:val="00E051C9"/>
    <w:rsid w:val="00E254B6"/>
    <w:rsid w:val="00E26544"/>
    <w:rsid w:val="00E37F8D"/>
    <w:rsid w:val="00E42E65"/>
    <w:rsid w:val="00E47A04"/>
    <w:rsid w:val="00E53219"/>
    <w:rsid w:val="00E537A4"/>
    <w:rsid w:val="00E61085"/>
    <w:rsid w:val="00E77A4F"/>
    <w:rsid w:val="00E8057C"/>
    <w:rsid w:val="00E84338"/>
    <w:rsid w:val="00E92C96"/>
    <w:rsid w:val="00E9321D"/>
    <w:rsid w:val="00E9521C"/>
    <w:rsid w:val="00EB1DB8"/>
    <w:rsid w:val="00EC7999"/>
    <w:rsid w:val="00EC7E75"/>
    <w:rsid w:val="00ED3331"/>
    <w:rsid w:val="00EE1965"/>
    <w:rsid w:val="00EE2CD6"/>
    <w:rsid w:val="00EE37C2"/>
    <w:rsid w:val="00EE5A6D"/>
    <w:rsid w:val="00EF750B"/>
    <w:rsid w:val="00F00F5B"/>
    <w:rsid w:val="00F03C4A"/>
    <w:rsid w:val="00F04D53"/>
    <w:rsid w:val="00F07FC5"/>
    <w:rsid w:val="00F13A61"/>
    <w:rsid w:val="00F24568"/>
    <w:rsid w:val="00F24FBC"/>
    <w:rsid w:val="00F31822"/>
    <w:rsid w:val="00F44994"/>
    <w:rsid w:val="00F44CFF"/>
    <w:rsid w:val="00F4613E"/>
    <w:rsid w:val="00F47B2D"/>
    <w:rsid w:val="00F5104F"/>
    <w:rsid w:val="00F66862"/>
    <w:rsid w:val="00F66E50"/>
    <w:rsid w:val="00F8193A"/>
    <w:rsid w:val="00F83291"/>
    <w:rsid w:val="00F91138"/>
    <w:rsid w:val="00F96AFD"/>
    <w:rsid w:val="00FA3D84"/>
    <w:rsid w:val="00FA5F00"/>
    <w:rsid w:val="00FC4A01"/>
    <w:rsid w:val="00FD1CBD"/>
    <w:rsid w:val="00FD3274"/>
    <w:rsid w:val="00FD3BAF"/>
    <w:rsid w:val="00FD78A2"/>
    <w:rsid w:val="00FE012A"/>
    <w:rsid w:val="00FE17B6"/>
    <w:rsid w:val="00FE1964"/>
    <w:rsid w:val="019957FB"/>
    <w:rsid w:val="01C73E76"/>
    <w:rsid w:val="023363FA"/>
    <w:rsid w:val="02F45657"/>
    <w:rsid w:val="030379FC"/>
    <w:rsid w:val="033A3C73"/>
    <w:rsid w:val="035E2B49"/>
    <w:rsid w:val="04590E66"/>
    <w:rsid w:val="047F4C96"/>
    <w:rsid w:val="04911A44"/>
    <w:rsid w:val="05194C1F"/>
    <w:rsid w:val="05D76F9F"/>
    <w:rsid w:val="05E81DD3"/>
    <w:rsid w:val="05EC092D"/>
    <w:rsid w:val="064A070D"/>
    <w:rsid w:val="06675321"/>
    <w:rsid w:val="06967D8B"/>
    <w:rsid w:val="06A54B9C"/>
    <w:rsid w:val="06A55D15"/>
    <w:rsid w:val="06A963B4"/>
    <w:rsid w:val="0856007D"/>
    <w:rsid w:val="08CC0A8C"/>
    <w:rsid w:val="08F12EC1"/>
    <w:rsid w:val="09520C38"/>
    <w:rsid w:val="09D02052"/>
    <w:rsid w:val="0A625176"/>
    <w:rsid w:val="0B3E0A97"/>
    <w:rsid w:val="0B4977AD"/>
    <w:rsid w:val="0B727EC0"/>
    <w:rsid w:val="0BB4154B"/>
    <w:rsid w:val="0BE41C05"/>
    <w:rsid w:val="0C327A34"/>
    <w:rsid w:val="0C9A2C35"/>
    <w:rsid w:val="0CC8588A"/>
    <w:rsid w:val="0D0F4799"/>
    <w:rsid w:val="0D476969"/>
    <w:rsid w:val="0D6942E6"/>
    <w:rsid w:val="0D6F1704"/>
    <w:rsid w:val="0DB633A9"/>
    <w:rsid w:val="0DC3701E"/>
    <w:rsid w:val="0DEF4B10"/>
    <w:rsid w:val="0E1E2C2A"/>
    <w:rsid w:val="0E9968D5"/>
    <w:rsid w:val="0ED24675"/>
    <w:rsid w:val="0ED517BB"/>
    <w:rsid w:val="0EEB1DE7"/>
    <w:rsid w:val="0F874C55"/>
    <w:rsid w:val="10384691"/>
    <w:rsid w:val="10491ED1"/>
    <w:rsid w:val="107822C6"/>
    <w:rsid w:val="10EB03B7"/>
    <w:rsid w:val="11271642"/>
    <w:rsid w:val="11584145"/>
    <w:rsid w:val="11B16455"/>
    <w:rsid w:val="11BD4645"/>
    <w:rsid w:val="11CB7EC0"/>
    <w:rsid w:val="11D3655A"/>
    <w:rsid w:val="11E43FF9"/>
    <w:rsid w:val="12325D67"/>
    <w:rsid w:val="125A571B"/>
    <w:rsid w:val="12696A4A"/>
    <w:rsid w:val="1273016F"/>
    <w:rsid w:val="12A01242"/>
    <w:rsid w:val="12C5621B"/>
    <w:rsid w:val="12CF4387"/>
    <w:rsid w:val="12F4646B"/>
    <w:rsid w:val="12FD3636"/>
    <w:rsid w:val="135B6D7A"/>
    <w:rsid w:val="13DF5FCC"/>
    <w:rsid w:val="141360D7"/>
    <w:rsid w:val="14917D9A"/>
    <w:rsid w:val="14D40E9F"/>
    <w:rsid w:val="15397672"/>
    <w:rsid w:val="157D2349"/>
    <w:rsid w:val="159311DF"/>
    <w:rsid w:val="161C66B4"/>
    <w:rsid w:val="1621148B"/>
    <w:rsid w:val="164D630E"/>
    <w:rsid w:val="16527420"/>
    <w:rsid w:val="16C72940"/>
    <w:rsid w:val="16F65ED9"/>
    <w:rsid w:val="170D61B3"/>
    <w:rsid w:val="17231EE6"/>
    <w:rsid w:val="174562AA"/>
    <w:rsid w:val="176255A0"/>
    <w:rsid w:val="177F5397"/>
    <w:rsid w:val="180A08B7"/>
    <w:rsid w:val="184E1D17"/>
    <w:rsid w:val="188B386B"/>
    <w:rsid w:val="18AD0A38"/>
    <w:rsid w:val="19164A41"/>
    <w:rsid w:val="19786D65"/>
    <w:rsid w:val="19951D37"/>
    <w:rsid w:val="19AE6BDF"/>
    <w:rsid w:val="19E559A1"/>
    <w:rsid w:val="1A7111E7"/>
    <w:rsid w:val="1A7A465A"/>
    <w:rsid w:val="1AB14BF2"/>
    <w:rsid w:val="1AFE0218"/>
    <w:rsid w:val="1B3E0D03"/>
    <w:rsid w:val="1BC06731"/>
    <w:rsid w:val="1BC67C7F"/>
    <w:rsid w:val="1C2C27E8"/>
    <w:rsid w:val="1C384290"/>
    <w:rsid w:val="1C7D5FD9"/>
    <w:rsid w:val="1CC631E4"/>
    <w:rsid w:val="1CF31D28"/>
    <w:rsid w:val="1D1F49D8"/>
    <w:rsid w:val="1D30605F"/>
    <w:rsid w:val="1D7D5D9B"/>
    <w:rsid w:val="1DA04138"/>
    <w:rsid w:val="1DE91C67"/>
    <w:rsid w:val="1E9A4FBA"/>
    <w:rsid w:val="1ECA36AD"/>
    <w:rsid w:val="1ED75EB3"/>
    <w:rsid w:val="1EDD53D5"/>
    <w:rsid w:val="1EE2587F"/>
    <w:rsid w:val="1EFC5BA8"/>
    <w:rsid w:val="1F727312"/>
    <w:rsid w:val="1FC9299B"/>
    <w:rsid w:val="1FF33799"/>
    <w:rsid w:val="202E7E1D"/>
    <w:rsid w:val="2035147D"/>
    <w:rsid w:val="20C4006E"/>
    <w:rsid w:val="21220F91"/>
    <w:rsid w:val="21261D85"/>
    <w:rsid w:val="2157303E"/>
    <w:rsid w:val="216D73D5"/>
    <w:rsid w:val="21D93ECE"/>
    <w:rsid w:val="234D0DE9"/>
    <w:rsid w:val="234D189D"/>
    <w:rsid w:val="23657287"/>
    <w:rsid w:val="236C672D"/>
    <w:rsid w:val="237D6694"/>
    <w:rsid w:val="23CC43F8"/>
    <w:rsid w:val="23D14F15"/>
    <w:rsid w:val="24187BD9"/>
    <w:rsid w:val="24374BFD"/>
    <w:rsid w:val="24826AAA"/>
    <w:rsid w:val="24A57116"/>
    <w:rsid w:val="24E9694D"/>
    <w:rsid w:val="24EE1114"/>
    <w:rsid w:val="24F8357C"/>
    <w:rsid w:val="253F1345"/>
    <w:rsid w:val="257939B4"/>
    <w:rsid w:val="259246B2"/>
    <w:rsid w:val="25E42AAF"/>
    <w:rsid w:val="25F6340B"/>
    <w:rsid w:val="26527C0F"/>
    <w:rsid w:val="26564440"/>
    <w:rsid w:val="266766E1"/>
    <w:rsid w:val="26A03FFF"/>
    <w:rsid w:val="26F2771C"/>
    <w:rsid w:val="285B08B4"/>
    <w:rsid w:val="28662A99"/>
    <w:rsid w:val="28AD786A"/>
    <w:rsid w:val="293509C3"/>
    <w:rsid w:val="29B1412F"/>
    <w:rsid w:val="29F15294"/>
    <w:rsid w:val="29FC5036"/>
    <w:rsid w:val="2AE868AE"/>
    <w:rsid w:val="2B857EA2"/>
    <w:rsid w:val="2BDE2103"/>
    <w:rsid w:val="2BE47E16"/>
    <w:rsid w:val="2BFC0397"/>
    <w:rsid w:val="2C9E22DE"/>
    <w:rsid w:val="2D7A47E7"/>
    <w:rsid w:val="2D8E7EE0"/>
    <w:rsid w:val="2DDE792C"/>
    <w:rsid w:val="2DF7639B"/>
    <w:rsid w:val="2E197287"/>
    <w:rsid w:val="2E836EFC"/>
    <w:rsid w:val="2F0316D7"/>
    <w:rsid w:val="2F103136"/>
    <w:rsid w:val="2F9D41F2"/>
    <w:rsid w:val="2FC503BB"/>
    <w:rsid w:val="2FF75932"/>
    <w:rsid w:val="30741D05"/>
    <w:rsid w:val="309A5780"/>
    <w:rsid w:val="30C7630C"/>
    <w:rsid w:val="30DA080F"/>
    <w:rsid w:val="30FE4FC1"/>
    <w:rsid w:val="31053F47"/>
    <w:rsid w:val="311C615D"/>
    <w:rsid w:val="319F2918"/>
    <w:rsid w:val="31E37464"/>
    <w:rsid w:val="31E62492"/>
    <w:rsid w:val="31ED53AA"/>
    <w:rsid w:val="320352CD"/>
    <w:rsid w:val="321D505F"/>
    <w:rsid w:val="32DC6961"/>
    <w:rsid w:val="33104557"/>
    <w:rsid w:val="331E67A2"/>
    <w:rsid w:val="33DE3396"/>
    <w:rsid w:val="347C6EFF"/>
    <w:rsid w:val="34C90B44"/>
    <w:rsid w:val="350663E8"/>
    <w:rsid w:val="352C6074"/>
    <w:rsid w:val="358E72C1"/>
    <w:rsid w:val="36441F48"/>
    <w:rsid w:val="36727167"/>
    <w:rsid w:val="3683415D"/>
    <w:rsid w:val="36923513"/>
    <w:rsid w:val="36BD583B"/>
    <w:rsid w:val="36FD683B"/>
    <w:rsid w:val="373B4D31"/>
    <w:rsid w:val="37675558"/>
    <w:rsid w:val="37B52E5B"/>
    <w:rsid w:val="37DC0285"/>
    <w:rsid w:val="386A08F7"/>
    <w:rsid w:val="38A8762D"/>
    <w:rsid w:val="38AD6AF1"/>
    <w:rsid w:val="39544C3E"/>
    <w:rsid w:val="39745A76"/>
    <w:rsid w:val="3AA347CF"/>
    <w:rsid w:val="3AEA0B8D"/>
    <w:rsid w:val="3B2B1DFD"/>
    <w:rsid w:val="3BB52CB2"/>
    <w:rsid w:val="3BD86DB8"/>
    <w:rsid w:val="3BFB5304"/>
    <w:rsid w:val="3C652872"/>
    <w:rsid w:val="3CA91D9E"/>
    <w:rsid w:val="3CF31A75"/>
    <w:rsid w:val="3DEA1EBC"/>
    <w:rsid w:val="3DFB35EE"/>
    <w:rsid w:val="3E420081"/>
    <w:rsid w:val="3EB55FD1"/>
    <w:rsid w:val="3EFF1994"/>
    <w:rsid w:val="3F1A6FB1"/>
    <w:rsid w:val="3F1F53F1"/>
    <w:rsid w:val="3FCD102E"/>
    <w:rsid w:val="3FE01A78"/>
    <w:rsid w:val="40151A49"/>
    <w:rsid w:val="401C484B"/>
    <w:rsid w:val="40770F05"/>
    <w:rsid w:val="40E504F8"/>
    <w:rsid w:val="4161559A"/>
    <w:rsid w:val="41B059E4"/>
    <w:rsid w:val="41B77E2C"/>
    <w:rsid w:val="41C75228"/>
    <w:rsid w:val="41ED0329"/>
    <w:rsid w:val="431E4DBC"/>
    <w:rsid w:val="43261950"/>
    <w:rsid w:val="434410D8"/>
    <w:rsid w:val="43733025"/>
    <w:rsid w:val="43E27C09"/>
    <w:rsid w:val="440C116B"/>
    <w:rsid w:val="44607C92"/>
    <w:rsid w:val="446242DA"/>
    <w:rsid w:val="448D35C3"/>
    <w:rsid w:val="44C650AD"/>
    <w:rsid w:val="44DD4195"/>
    <w:rsid w:val="44F57EA7"/>
    <w:rsid w:val="454D2F0C"/>
    <w:rsid w:val="45671692"/>
    <w:rsid w:val="459F2F5F"/>
    <w:rsid w:val="45D51436"/>
    <w:rsid w:val="46252DBD"/>
    <w:rsid w:val="46594812"/>
    <w:rsid w:val="465E3E7E"/>
    <w:rsid w:val="46701412"/>
    <w:rsid w:val="47023B7F"/>
    <w:rsid w:val="475A5CF3"/>
    <w:rsid w:val="47DC32F2"/>
    <w:rsid w:val="481D7DA3"/>
    <w:rsid w:val="483C4A8E"/>
    <w:rsid w:val="48427405"/>
    <w:rsid w:val="48D24D6D"/>
    <w:rsid w:val="48DA5D96"/>
    <w:rsid w:val="491A752D"/>
    <w:rsid w:val="493974A7"/>
    <w:rsid w:val="496164F3"/>
    <w:rsid w:val="49826615"/>
    <w:rsid w:val="4A0C0DD4"/>
    <w:rsid w:val="4A0F6398"/>
    <w:rsid w:val="4A777085"/>
    <w:rsid w:val="4A90753C"/>
    <w:rsid w:val="4B0E302C"/>
    <w:rsid w:val="4B9129DB"/>
    <w:rsid w:val="4BAD021A"/>
    <w:rsid w:val="4BC74713"/>
    <w:rsid w:val="4BE76062"/>
    <w:rsid w:val="4C047391"/>
    <w:rsid w:val="4C0E31C0"/>
    <w:rsid w:val="4C1313D9"/>
    <w:rsid w:val="4C375F54"/>
    <w:rsid w:val="4C425D07"/>
    <w:rsid w:val="4C931C09"/>
    <w:rsid w:val="4CA35A9A"/>
    <w:rsid w:val="4CEE50C9"/>
    <w:rsid w:val="4D1D28CB"/>
    <w:rsid w:val="4DFC1374"/>
    <w:rsid w:val="4E3D06AA"/>
    <w:rsid w:val="4F012756"/>
    <w:rsid w:val="4F1801B2"/>
    <w:rsid w:val="4F2075F9"/>
    <w:rsid w:val="4F7D4C66"/>
    <w:rsid w:val="4F846B13"/>
    <w:rsid w:val="4FDB2353"/>
    <w:rsid w:val="50480372"/>
    <w:rsid w:val="50716FA4"/>
    <w:rsid w:val="508949A7"/>
    <w:rsid w:val="50C44740"/>
    <w:rsid w:val="50C923D6"/>
    <w:rsid w:val="50D12903"/>
    <w:rsid w:val="51846878"/>
    <w:rsid w:val="51AA1064"/>
    <w:rsid w:val="51EC2EC9"/>
    <w:rsid w:val="51F87FF2"/>
    <w:rsid w:val="527835CE"/>
    <w:rsid w:val="5281288B"/>
    <w:rsid w:val="53045030"/>
    <w:rsid w:val="53227FD7"/>
    <w:rsid w:val="532A44C2"/>
    <w:rsid w:val="536042DC"/>
    <w:rsid w:val="53CD435E"/>
    <w:rsid w:val="53F1405C"/>
    <w:rsid w:val="53FC37C9"/>
    <w:rsid w:val="54542728"/>
    <w:rsid w:val="54592CFF"/>
    <w:rsid w:val="54905E2E"/>
    <w:rsid w:val="54AD031C"/>
    <w:rsid w:val="5594034A"/>
    <w:rsid w:val="55ED7F8E"/>
    <w:rsid w:val="56472B43"/>
    <w:rsid w:val="56485C4F"/>
    <w:rsid w:val="57BB2115"/>
    <w:rsid w:val="58DB23E9"/>
    <w:rsid w:val="597202EE"/>
    <w:rsid w:val="59DF7060"/>
    <w:rsid w:val="59E4330E"/>
    <w:rsid w:val="5A2A77CB"/>
    <w:rsid w:val="5A882B0F"/>
    <w:rsid w:val="5A8B7188"/>
    <w:rsid w:val="5A966841"/>
    <w:rsid w:val="5AAB52E6"/>
    <w:rsid w:val="5B2B7136"/>
    <w:rsid w:val="5B381B13"/>
    <w:rsid w:val="5B5515EA"/>
    <w:rsid w:val="5B9E6E42"/>
    <w:rsid w:val="5C0C2551"/>
    <w:rsid w:val="5C691DC4"/>
    <w:rsid w:val="5C837F72"/>
    <w:rsid w:val="5CA12681"/>
    <w:rsid w:val="5CA7383F"/>
    <w:rsid w:val="5CBA0B8C"/>
    <w:rsid w:val="5CFE4762"/>
    <w:rsid w:val="5D1274B1"/>
    <w:rsid w:val="5D1E5908"/>
    <w:rsid w:val="5D9C7672"/>
    <w:rsid w:val="5DB1459B"/>
    <w:rsid w:val="5E292F73"/>
    <w:rsid w:val="5E330A35"/>
    <w:rsid w:val="5E3F64D6"/>
    <w:rsid w:val="5EDB2621"/>
    <w:rsid w:val="5EFB1FB5"/>
    <w:rsid w:val="5FA16C76"/>
    <w:rsid w:val="5FA47C6C"/>
    <w:rsid w:val="60882179"/>
    <w:rsid w:val="60B81B72"/>
    <w:rsid w:val="60E34B85"/>
    <w:rsid w:val="61097E83"/>
    <w:rsid w:val="6153146C"/>
    <w:rsid w:val="61CF50F6"/>
    <w:rsid w:val="61D06C08"/>
    <w:rsid w:val="62210118"/>
    <w:rsid w:val="62245680"/>
    <w:rsid w:val="622E3A15"/>
    <w:rsid w:val="62B81E4F"/>
    <w:rsid w:val="62F3288D"/>
    <w:rsid w:val="63663DFD"/>
    <w:rsid w:val="638F3520"/>
    <w:rsid w:val="63CA040C"/>
    <w:rsid w:val="63EC1878"/>
    <w:rsid w:val="640D3074"/>
    <w:rsid w:val="64984205"/>
    <w:rsid w:val="64AB7D76"/>
    <w:rsid w:val="64E22923"/>
    <w:rsid w:val="64E32BCA"/>
    <w:rsid w:val="65D0342A"/>
    <w:rsid w:val="660E762F"/>
    <w:rsid w:val="66310371"/>
    <w:rsid w:val="66A04297"/>
    <w:rsid w:val="67306F80"/>
    <w:rsid w:val="676D52E5"/>
    <w:rsid w:val="68500E47"/>
    <w:rsid w:val="68571BAC"/>
    <w:rsid w:val="68A12A2B"/>
    <w:rsid w:val="68FE0FA1"/>
    <w:rsid w:val="69021D92"/>
    <w:rsid w:val="695A495E"/>
    <w:rsid w:val="697069A4"/>
    <w:rsid w:val="698F2A97"/>
    <w:rsid w:val="69973F40"/>
    <w:rsid w:val="69E653BD"/>
    <w:rsid w:val="69FB186D"/>
    <w:rsid w:val="6A1A3515"/>
    <w:rsid w:val="6A53047B"/>
    <w:rsid w:val="6A743D8C"/>
    <w:rsid w:val="6A7C4093"/>
    <w:rsid w:val="6A886178"/>
    <w:rsid w:val="6AC5633D"/>
    <w:rsid w:val="6AD71D05"/>
    <w:rsid w:val="6AD8142F"/>
    <w:rsid w:val="6BA562F6"/>
    <w:rsid w:val="6C01703B"/>
    <w:rsid w:val="6C1C5046"/>
    <w:rsid w:val="6C600B11"/>
    <w:rsid w:val="6CB95867"/>
    <w:rsid w:val="6CFE1820"/>
    <w:rsid w:val="6D375C1D"/>
    <w:rsid w:val="6D431F34"/>
    <w:rsid w:val="6D9E6956"/>
    <w:rsid w:val="6DC32934"/>
    <w:rsid w:val="6E9F2517"/>
    <w:rsid w:val="6EB30A4B"/>
    <w:rsid w:val="6F1E498B"/>
    <w:rsid w:val="6F652333"/>
    <w:rsid w:val="6F737D85"/>
    <w:rsid w:val="700B22F8"/>
    <w:rsid w:val="70B71CC7"/>
    <w:rsid w:val="70CC1136"/>
    <w:rsid w:val="70FE3E1C"/>
    <w:rsid w:val="711B7EA1"/>
    <w:rsid w:val="71973DC7"/>
    <w:rsid w:val="71B926B3"/>
    <w:rsid w:val="721027ED"/>
    <w:rsid w:val="723673BB"/>
    <w:rsid w:val="72714897"/>
    <w:rsid w:val="728234C5"/>
    <w:rsid w:val="72A50FB3"/>
    <w:rsid w:val="732C7AE2"/>
    <w:rsid w:val="733020ED"/>
    <w:rsid w:val="73460E60"/>
    <w:rsid w:val="734914A5"/>
    <w:rsid w:val="73772E78"/>
    <w:rsid w:val="73E9745B"/>
    <w:rsid w:val="73F661BA"/>
    <w:rsid w:val="742F142C"/>
    <w:rsid w:val="74361259"/>
    <w:rsid w:val="74D45837"/>
    <w:rsid w:val="751145F3"/>
    <w:rsid w:val="757921A8"/>
    <w:rsid w:val="75C64932"/>
    <w:rsid w:val="761C6DE0"/>
    <w:rsid w:val="76242C4A"/>
    <w:rsid w:val="76C80A7B"/>
    <w:rsid w:val="770D256C"/>
    <w:rsid w:val="776369E5"/>
    <w:rsid w:val="77E81C32"/>
    <w:rsid w:val="78063C7F"/>
    <w:rsid w:val="78282485"/>
    <w:rsid w:val="78B723CD"/>
    <w:rsid w:val="79355EB7"/>
    <w:rsid w:val="79623E33"/>
    <w:rsid w:val="79B066DD"/>
    <w:rsid w:val="79B56140"/>
    <w:rsid w:val="79C850A0"/>
    <w:rsid w:val="79DD5F21"/>
    <w:rsid w:val="7A2B6130"/>
    <w:rsid w:val="7A45505E"/>
    <w:rsid w:val="7A84731A"/>
    <w:rsid w:val="7A9B031B"/>
    <w:rsid w:val="7AA66524"/>
    <w:rsid w:val="7AB405EF"/>
    <w:rsid w:val="7AD600D9"/>
    <w:rsid w:val="7AE4720D"/>
    <w:rsid w:val="7BC839BD"/>
    <w:rsid w:val="7C14079C"/>
    <w:rsid w:val="7C385843"/>
    <w:rsid w:val="7C603657"/>
    <w:rsid w:val="7CB2092C"/>
    <w:rsid w:val="7D1826F2"/>
    <w:rsid w:val="7D4714C4"/>
    <w:rsid w:val="7D8A79E9"/>
    <w:rsid w:val="7D8D517F"/>
    <w:rsid w:val="7D9E1976"/>
    <w:rsid w:val="7DC4769F"/>
    <w:rsid w:val="7DCE15D9"/>
    <w:rsid w:val="7E1B5CEA"/>
    <w:rsid w:val="7E453569"/>
    <w:rsid w:val="7E860F3B"/>
    <w:rsid w:val="7E8821CD"/>
    <w:rsid w:val="7EAF239F"/>
    <w:rsid w:val="7EF15D53"/>
    <w:rsid w:val="7F6F0D79"/>
    <w:rsid w:val="7F7D58F5"/>
    <w:rsid w:val="7F84533F"/>
    <w:rsid w:val="7F8D07BE"/>
    <w:rsid w:val="7FB259C7"/>
    <w:rsid w:val="7FE042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0" w:beforeAutospacing="1" w:after="0" w:afterAutospacing="1"/>
      <w:ind w:left="0" w:right="0"/>
      <w:jc w:val="left"/>
    </w:pPr>
    <w:rPr>
      <w:rFonts w:ascii="宋体" w:hAnsi="宋体" w:eastAsia="宋体" w:cs="宋体"/>
      <w:kern w:val="0"/>
      <w:sz w:val="24"/>
      <w:szCs w:val="24"/>
      <w:lang w:val="en-US" w:eastAsia="zh-CN" w:bidi="ar"/>
    </w:rPr>
  </w:style>
  <w:style w:type="character" w:styleId="8">
    <w:name w:val="Hyperlink"/>
    <w:basedOn w:val="7"/>
    <w:qFormat/>
    <w:uiPriority w:val="0"/>
    <w:rPr>
      <w:color w:val="0000FF"/>
      <w:u w:val="single"/>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paragraph" w:styleId="11">
    <w:name w:val="List Paragraph"/>
    <w:basedOn w:val="1"/>
    <w:qFormat/>
    <w:uiPriority w:val="34"/>
    <w:pPr>
      <w:ind w:firstLine="420" w:firstLineChars="200"/>
    </w:pPr>
  </w:style>
  <w:style w:type="paragraph" w:customStyle="1" w:styleId="12">
    <w:name w:val="MsoNormal"/>
    <w:basedOn w:val="1"/>
    <w:qFormat/>
    <w:uiPriority w:val="0"/>
    <w:pPr>
      <w:keepNext w:val="0"/>
      <w:keepLines w:val="0"/>
      <w:widowControl w:val="0"/>
      <w:suppressLineNumbers w:val="0"/>
      <w:spacing w:before="0" w:beforeAutospacing="0" w:after="0" w:afterAutospacing="0"/>
      <w:ind w:left="0" w:right="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1026</Words>
  <Characters>5853</Characters>
  <Lines>48</Lines>
  <Paragraphs>13</Paragraphs>
  <TotalTime>19</TotalTime>
  <ScaleCrop>false</ScaleCrop>
  <LinksUpToDate>false</LinksUpToDate>
  <CharactersWithSpaces>6866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2018-08-28T04:05:00Z</dcterms:created>
  <dc:creator>李凯</dc:creator>
  <cp:lastModifiedBy>李小秋</cp:lastModifiedBy>
  <dcterms:modified xsi:type="dcterms:W3CDTF">2025-01-15T02:07:54Z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